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19 vom 9. Januar 2019</w:t>
      </w:r>
    </w:p>
    <w:p>
      <w:r>
        <w:t>VD Tribunal cantonal, 2019-01-09, FR</w:t>
      </w:r>
    </w:p>
    <w:p>
      <w:r>
        <w:rPr>
          <w:b/>
        </w:rPr>
        <w:t xml:space="preserve">Quelle: </w:t>
      </w:r>
      <w:r>
        <w:t>https://mcp.opencaselaw.ch/entscheid/vd_findinfo_D_cision___2019___19</w:t>
      </w:r>
    </w:p>
    <w:p>
      <w:r>
        <w:t>FR: VD_FINDINFO Décision / 2019 / 19 du 9 janvier 2019</w:t>
      </w:r>
    </w:p>
    <w:p>
      <w:r>
        <w:t>IT: VD_FINDINFO Décision / 2019 / 19 del 9 gennaio 2019</w:t>
      </w:r>
    </w:p>
    <w:p>
      <w:pPr>
        <w:pStyle w:val="Heading2"/>
      </w:pPr>
      <w:r>
        <w:t>Regeste</w:t>
      </w:r>
    </w:p>
    <w:p>
      <w:r>
        <w:t>DÉTENTION POUR DES MOTIFS DE SÛRETÉ, AFFILIATION À UNE BANDE, PROPORTIONNALITÉ, VOL{DROIT PÉNAL}, REJET DE LA DEMANDE | 221 al. 1 let. a CPP (CH),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auprès de l’autorité compétente (art. 13 LVCPP [loi vaudoise du 19 mai 2009 d’introduction du code de procédure pénale suisse ; BLV 312.01] ; art. 80 LOJV [loi vaudoise d’organisation judiciaire du 12 décembre 1979 ; BLV 173.01]) et dans les formes prescrites (art. 385 al. 1 CPP), le recours est recevable.</w:t>
      </w:r>
    </w:p>
    <w:p>
      <w:r>
        <w:rPr>
          <w:b/>
        </w:rPr>
        <w:t>E. 2</w:t>
      </w:r>
    </w:p>
    <w:p>
      <w:r>
        <w:t>et 3 Cst., art. 212 al. 3 CPP).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(ATF 143 IV 168 consid. 2). A teneur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rPr>
          <w:b/>
        </w:rPr>
        <w:t>E. 2.1</w:t>
      </w:r>
    </w:p>
    <w:p>
      <w:r>
        <w:t>Le recourant fait valoir que l’infraction commise ne justifierait pas sa détention pour des motifs de sûreté. En substance, il conteste que les faits qui lui sont reprochés puissent être constitutifs de vol en bande, relevant qu'il ne s'agirait que d'un vol d'importance mineure.</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Une mesure de détention pour des motifs de sûreté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w:t>
      </w:r>
    </w:p>
    <w:p>
      <w:r>
        <w:rPr>
          <w:b/>
        </w:rPr>
        <w:t>E. 2.2.2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six mois à dix ans si son auteur l'a commis en qualité d'affilié à une bande formée pour commettre des brigandages et des vols (art. 139 ch.</w:t>
      </w:r>
    </w:p>
    <w:p>
      <w:r>
        <w:rPr>
          <w:b/>
        </w:rPr>
        <w:t>E. 2.3</w:t>
      </w:r>
    </w:p>
    <w:p>
      <w:r>
        <w:t>En l'espèce, le recourant ne conteste pas qu'il existe contre lui de forts soupçons de commission d’une infraction à la LEI, en étant entré en Suisse sans disposer de moyens financiers suffisants. De fait, il ne prétend en particulier pas qu'il disposait de quelconques moyens financiers lors de son entrée en Suisse. Au surplus, il est vrai que le vol commis par le recourant ne porte que sur cinq bouteilles de whisky d'une valeur inférieure à 300 fr., et qu'il s'agit d'un élément patrimonial de faible valeur au sens de la jurisprudence rendue à propos de l'art. 172 ter al. 1 CP. Toutefois, comme relevé à l'art. 172 ter al. 2 CP précité, si l'acte incriminé relève du vol en bande ou par métier, il ne constitue pas une simple contravention, mais une infraction sanctionnée par une peine privative de liberté d'une durée minimale de six mois. Dans la mesure où il existe de forts soupçons de commission d'une infraction à la LEI, la qualification du vol pourrait rester indécise, la première condition posée par l'art. 221 al. 1 CPP étant remplie. Il existe cependant également de tels soupçons pour l'infraction de vol en bande (cf. infra consid. 3.3). Au surplus, le risque de fuite n'est pas contesté par le recourant, ni contestable au vu des circonstances de l’espèce. En effet, le recourant est ressortissant étranger, sans domicile connu et n’a aucune ressource ou attache en Suisse. Ainsi, s’il était amené à être libéré, il existe un fort risque que le prévenu se soustraie à l’action pénale.</w:t>
      </w:r>
    </w:p>
    <w:p>
      <w:r>
        <w:rPr>
          <w:b/>
        </w:rPr>
        <w:t>E. 3</w:t>
      </w:r>
    </w:p>
    <w:p>
      <w:r>
        <w:t>al. 2 CP).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 ATF 132 IV 132 consid. 5.2 ; cf. récemment : TF 6B_291/2017 du 16 janvier 2018 consid. 2.2.3 ; TF 6B_1015/2016 du 27 octobre 2017 consid. 5.3 ; TF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(ibid.). Dans le cas de ressortissants étrangers venus ensemble en Suisse, ayant besoin d'argent, et ayant commis un seul vol en commun, le Tribunal fédéral a retenu que l'aggravante de l'affiliation à une bande pouvait être à bon droit retenue (cf. TF 6B_1015/2016 du 27 octobre 2017 consid. 5.3). Selon l'art. 172 ter al. 1 CP, si l'acte ne visait qu'un élément patrimonial de faible valeur ou un dommage de moindre importance, soit selon la jurisprudence se situant en-dessous de 300 fr. (ATF 123 IV 113 consid. 3d) – l'auteur sera, sur plainte, puni d'une amende ; cette disposition n'est pas applicable au vol qualifié (art. 139 ch. 2 et 3 CP), au brigandage ainsi qu'à l'extorsion et au chantage (art. 172 ter al. 2 CP). Aux termes de l'art. 115 al. 1 let. a LEI, est puni d'une peine privative de liberté d'un an au plus ou d'une peine pécuniaire quiconque contrevient aux dispositions sur l'entrée en Suisse (art. 5). Selon l'art. 5 al. 1 let. b LEI, pour entrer en Suisse, tout étranger doit disposer des moyens financiers nécessaires à son séjour.</w:t>
      </w:r>
    </w:p>
    <w:p>
      <w:r>
        <w:rPr>
          <w:b/>
        </w:rPr>
        <w:t>E. 3.1</w:t>
      </w:r>
    </w:p>
    <w:p>
      <w:r>
        <w:t>Le recourant invoque en outre une violation du principe de la proportionnalité, faisant valoir qu'il n'a pas de casier judiciaire en Suisse et qu'il aurait dérobé en tout et pour tout cinq bouteilles de whisky, ce qui constituerait une contravention et non un vol en bande, dont les conditions ne seraient pas remplies. Il invoque que la peine privative de liberté de 7 mois proposée à titre de sanction par le Procureur serait disproportionnée.</w:t>
      </w:r>
    </w:p>
    <w:p>
      <w:r>
        <w:rPr>
          <w:b/>
        </w:rPr>
        <w:t>E. 3.2</w:t>
      </w:r>
    </w:p>
    <w:p>
      <w:r>
        <w:t>En vertu des art. 31 al. 3 Cst. et 5 par. 3 CEDH, toute personne qui est mise en détention préventive a le droit d'être jugée dans un délai raisonnable ou d'être libérée pendant la procédure pénale. L'art. 212 al. 3 CPP rappelle cette exigence, qui constitue le principe de la proportionnalité, en précisant que la détention provisoire ou pour des motifs de sûreté ne doit pas durer plus longtemps que la peine privative de liberté prévisible. La proportionnalité de la détention provisoire ou pour des motifs de sûretés doit être examinée au regard de l’ensemble des circonstances concrètes du cas d’espèce (ATF 133 I 168 consid. 4.1 et la jurisprudence citée).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Lorsque le détenu a déjà été jugé en première instance, ce prononcé constitue un indice important quant à la peine susceptible de devoir être finalement exécutée (ATF 139 IV 270 consid. 3.1 et les arrêts cités). Afin d'éviter d'empiéter sur les compétences du juge du fond, le juge de la détention ne tient en principe pas compte de la possibilité éventuelle de l'octroi, par l'autorité de jugement, d'un sursis, d'un sursis partiel (ATF 143 IV 168 consid. 5.1 ; ATF 139 IV 270 consid. 3.1) ou d'une libération conditionnelle (ATF 143 IV 168 consid. 5.1 ; TF 1B_82/2013 du 27 mars 2013 consid. 3.2, in Pra 2013 74 549). Il convient au demeurant de souligner que le fait que le casier judiciaire suisse soit vierge ne signifie pas que le prévenu bénéficiera automatiquement du sursis à l'exécution de la peine, les délinquants ne pouvant pas s'attendre systématiquement à bénéficier de l'octroi du sursis en cas de première condamnation (CREP 22 juin 2012/326 consid. 2b ; cf. Dupuis/Geller et al. (éd.), Petit commentaire du code pénal, 2 e éd. Bâle 2017, n. 26 ad art. 42 CP).</w:t>
      </w:r>
    </w:p>
    <w:p>
      <w:r>
        <w:rPr>
          <w:b/>
        </w:rPr>
        <w:t>E. 3.3</w:t>
      </w:r>
    </w:p>
    <w:p>
      <w:r>
        <w:t>En l'espèce, il existe des indices sérieux et concrets en faveur de la commission, par les trois prévenus, de l'infraction de vol en bande. En effet, ceux-ci admettent être venus ensemble en Suisse par le train, depuis [...], puis être allés depuis [...] au magasin [...] de [...], même s'ils prétendent qu'ils se seraient rencontrés fortuitement dans la gare française. Le mode opératoire, observé par un témoin et attesté par la vidéo de surveillance du commerce, confirme que les intéressés ont agi de concert, avec un certain degré d'organisation. Ainsi, le recourant ne conteste pas s'être emparé des cinq bouteilles que B.________ avait préalablement déplacées dans un endroit du magasin non surveillé par les caméras. Le fait que B.________ conteste avoir joué un rôle dans le cadre des vols commis par les deux autres n'est pas déterminant, dès lors que ce dernier a commis en Suisse de très nombreux vols à l'étalage en 2018, au point de faire l'objet de sept interdictions d'entrée dans les magasins [...] et d'une ordonnance de condamnation rendue le 12 novembre 2018 par le Staatsanwaltschaft du canton de Berne. Par ailleurs, il faut relever que, à dire de témoin, il avait un comportement bizarre dans le magasin, destiné vraisemblablement à détourner l'attention, qu'il a déplacé les cinq bouteilles dont le recourant s'est finalement emparé depuis le rayon des alcools – surveillé par des caméras – dans un autre rayon – non surveillé –, et qu'après avoir franchi la caisse, il attendait à la sortie du magasin en compagnie du troisième prévenu, qui avait lui dérobé deux bouteilles, également de whisky. Il convient encore de relever que le recourant ne conteste pas l’existence de forts soupçons de commission d’une infraction à la LEI, en étant entré en Suisse sans disposer des moyens financiers nécessaires à son séjour, si bien qu'il n'est pas arbitraire de retenir que les trois comparses avaient la volonté de commettre d'autres vols similaires dans le but notamment de subvenir à leurs besoins et de se déplacer en Suisse. Pour ces faits, le prévenu est passible d'une peine privative de liberté de six mois à dix ans, à laquelle s'ajoutera dans une juste proportion une autre peine pour l'infraction à la LEI, d'une durée maximale de six mois, correspondant à la moitié du maximum légal prévu pour cette infraction (art. 48 al. 1 CP). Concrètement, au vu des circonstances, notamment l'absence d'antécédents en Suisse du recourant, il y a lieu de retenir que la peine prévisible sera de l’ordre d’environ 7 mois, et qu'il faudra en déduire un certain nombre de jours pour indemniser la détention dans des conditions illicites, le Procureur admettant que le recourant a subie celle-ci durant 24 jours. En matière de réparation, le Tribunal fédéral a admis des réductions de peine correspondant à un tiers, voire à la moitié du nombre de jours d'incarcération dans des conditions illicites (cf. ATF 142 IV 245 ; TF 6B_1015/2016 précité ; 6B_1243/2016 du 13 décembre 2016 ; 6B_137/2016 du 1 er décembre 2016). Au vu de ce qui précède, une fois cette réduction de peine par hypothèse opérée, la peine concrètement prévisible avoisinera environ six mois de peine privative de liberté. La détention subie avant jugement, du 20 novembre 2018 au 13 avril 2019 – durée maximale de la détention pour des motifs de sûreté –, sera donc de 144 jours, soit de 4 mois et 23 jours, ce qui n'est pas très proche de la peine prévisible. Le principe de la proportionnalité est ainsi toujours respecté.</w:t>
      </w:r>
    </w:p>
    <w:p>
      <w:r>
        <w:rPr>
          <w:b/>
        </w:rPr>
        <w:t>E. 4.1</w:t>
      </w:r>
    </w:p>
    <w:p>
      <w:r>
        <w:t>Le recourant ne prétend pas que des mesures de substitution pourraient pallier le risque de fuite et n'en propose par ailleurs pas. Celles-ci doivent cependant être examinées d’office.</w:t>
      </w:r>
    </w:p>
    <w:p>
      <w:r>
        <w:rPr>
          <w:b/>
        </w:rPr>
        <w:t>E. 4.2</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L'art. 237 al. 2 CPP permet ainsi, entre autres mesures de substitution susceptibles d'entrer ici en considération, l'assignation à résidence ou l'interdiction de se rendre dans un certain lieu ou un certain immeuble (let. c), l'obligation de se présenter régulièrement à un service administratif (let. d) et l'interdiction d'entretenir des relations avec certaines personnes (let. g). L'art. 237 al. 3 CPP précise que, pour surveiller l'exécution de ces mesures, le tribunal peut ordonner l'utilisation d'appareils techniques qui peuvent être fixés à la personne sous surveillance.</w:t>
      </w:r>
    </w:p>
    <w:p>
      <w:r>
        <w:rPr>
          <w:b/>
        </w:rPr>
        <w:t>E. 4.3</w:t>
      </w:r>
    </w:p>
    <w:p>
      <w:r>
        <w:t>En l’espèce, on ne voit aucune mesure de substitution apte à prévenir le risque de fuite, dès lors que le recourant est sans domicile connu et n’a aucune attache avec la Suisse. Ainsi, seule la détention sera à même de garantir que le prévenu ne se soustraie pas à l’action pénale.</w:t>
      </w:r>
    </w:p>
    <w:p>
      <w:r>
        <w:rPr>
          <w:b/>
        </w:rPr>
        <w:t>E. 5</w:t>
      </w:r>
    </w:p>
    <w:p>
      <w:r>
        <w:t>Il résulte de ce qui précède que le recours, manifestement mal fondé, doit être rejeté sans échange d'écritures (art. 390 al. 2 CPP) et l'ordonnance du 18 décembre 2018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plus la TVA, par 27 fr. 75, soit de 387 fr. 75 au total, seront mis à la charge de X.________,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18 décembre 2018 est confirmée. III. L'indemnité allouée au défenseur d'office de X.________ est fixée à 387 fr. 75 (trois cent huitante-sept francs et septante-cinq centimes). IV. Les frais d'arrêt, par 1’210 fr. (mille deux cent dix francs), ainsi que l'indemnité due au défenseur d'office de X.________, par 387 fr. 75. (trois cent huitante-sept francs et septante-cinq centimes), sont mis à la charge de ce dernier. V. Le remboursement à l'Etat de l'indemnité allouée au chiffre III ci-dessus ne sera exigible que pour au tant que la situation économique de X.________ le permette. VI. L’arrêt est exécutoire. Le président :               La greffière : Du Le présent arrêt, dont la rédaction a été approuvée à huis clos, est notifié, par l'envoi d'une copie complète, à : - Anne-Claire Boudry, avocate (pour X.________), - Ministère public central, et communiqué à : - M. le Président du Tribunal des mesures de contrainte, - Tribunal de l’arrondissement de La Broye et du Nord vaudois, - M. le Procureur de l’arrondissement du Nord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