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178 vom 23. Oktober 2018</w:t>
      </w:r>
    </w:p>
    <w:p>
      <w:r>
        <w:t>VD Tribunal cantonal, 2018-10-23, FR</w:t>
      </w:r>
    </w:p>
    <w:p>
      <w:r>
        <w:rPr>
          <w:b/>
        </w:rPr>
        <w:t xml:space="preserve">Quelle: </w:t>
      </w:r>
      <w:r>
        <w:t>https://mcp.opencaselaw.ch/entscheid/vd_findinfo_D_cision___2019___178</w:t>
      </w:r>
    </w:p>
    <w:p>
      <w:r>
        <w:t>FR: VD_FINDINFO Décision / 2019 / 178 du 23 octobre 2018</w:t>
      </w:r>
    </w:p>
    <w:p>
      <w:r>
        <w:t>IT: VD_FINDINFO Décision / 2019 / 178 del 23 ottobre 2018</w:t>
      </w:r>
    </w:p>
    <w:p>
      <w:pPr>
        <w:pStyle w:val="Heading2"/>
      </w:pPr>
      <w:r>
        <w:t>Regeste</w:t>
      </w:r>
    </w:p>
    <w:p>
      <w:r>
        <w:t>DISPOSITIONS PÉNALES DE LA LCR, CONDUITE SANS AUTORISATION, CAS GRAVE, INFRACTION QUALIFIÉE, EXPULSION{DROIT PÉNAL} | 90 al. 3 LCR, 90 al. 4 LCR, 95 al. 1 let. b LCR</w:t>
      </w:r>
    </w:p>
    <w:p>
      <w:pPr>
        <w:pStyle w:val="Heading2"/>
      </w:pPr>
      <w:r>
        <w:t>Erwägungen</w:t>
      </w:r>
    </w:p>
    <w:p>
      <w:r>
        <w:rPr>
          <w:b/>
        </w:rPr>
        <w:t>E. 1</w:t>
      </w:r>
    </w:p>
    <w:p>
      <w:r>
        <w:t>Interjetés dans les formes et délais légaux par des parties ayant la qualité pour recourir contre le jugement du tribunal de première instance qui a clos la procédure (art. 398 al. 1 CPP), les appels formés respectivement par F.________ et par le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A teneur de l’art. 389 al. 2 CPP, l'administration des preuves du tribunal de première instance n'est répétée que si (a) les dispositions en matière de preuves ont été enfreintes, (b) l'administration des preuves était incomplète ou (c) les pièces relatives à l'administration des preuves ne semblent pas fiables. La juridiction d'appel administre, d'office ou à la demande d'une partie, les preuves complémentaires nécessaires au traitement de l’appel (art. 389 al. 3 CPP; TF 6B_78/2012 du 27 août 2012 consid. 3.1). I. Appel de F.________</w:t>
      </w:r>
    </w:p>
    <w:p>
      <w:r>
        <w:rPr>
          <w:b/>
        </w:rPr>
        <w:t>E. 3</w:t>
      </w:r>
    </w:p>
    <w:p>
      <w:r>
        <w:t>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à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 Selon la jurisprudence et afin de garantir une certaine sécurité juridique, notamment en lien avec les répercussions administratives d'une violation grave qualifiée à la LCR, il y a lieu de retenir que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ATF 140 IV 133 consid. 4.2.1; ATF 139 IV 250 consid. 2.3.1).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Enfin, la jurisprudence retient que même lorsque l’indicateur de vitesse est défectueux, le conducteur doit se fier aux circonstances extérieures pour évaluer sa vitesse (vent, bruit du moteur et autres bruits de conduite) (TF 6B_171/2010 du 19 avril 2010 consid. 3.2).</w:t>
      </w:r>
    </w:p>
    <w:p>
      <w:r>
        <w:rPr>
          <w:b/>
        </w:rPr>
        <w:t>E. 3.1</w:t>
      </w:r>
    </w:p>
    <w:p>
      <w:r>
        <w:t>L’appelant invoque la violation de la présomption d’innocence. Il fait valoir que l’élément subjectif du délit de chauffard n’est pas rempli, en particulier qu’aucun élément du dossier ne permettrait d’établir quelle était sa volonté au moment de l’excès de vitesse. Il soutient qu’il aurait été négligeant, car s’il avait conscience de rouler trop rapidement, il n’imaginait pas circuler à une telle vitesse et n’aurait pas accepté le risque de rouler à cette vitesse.</w:t>
      </w:r>
    </w:p>
    <w:p>
      <w:r>
        <w:rPr>
          <w:b/>
        </w:rPr>
        <w:t>E. 3.2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Kuhn/Jeanneret [éd.], Code de procédure pénale suisse, Commentaire romand, Bâle 2011, n. 19 ad art. 398 CPP).</w:t>
      </w:r>
    </w:p>
    <w:p>
      <w:r>
        <w:rPr>
          <w:b/>
        </w:rPr>
        <w:t>E. 3.3</w:t>
      </w:r>
    </w:p>
    <w:p>
      <w:r>
        <w:t>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A teneur de l'art. 90 al. 4 LCR, l'al. 3 est toujours applicable lorsque la vitesse maximale autorisée a été dépassée : d'au moins 40 km/h, là où la limite était fixée à 30 km/h (let. a); d'au moins 50 km/h, là où la limite était fixée à 50 km/h (let. b); d'au moins 60 km/h, là où la limite était fixée à 80 km/h (let. c); d'au moins 80 km/h, là où la limite était fixée à plus de 80 km/h (let. d).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 Aucune méthode d'interprétation de l'art. 90 al. 3 et 4 LCR ne permet de retenir l'existence d'une présomption légale irréfragable en faveur de la réalisation des conditions subjectives de l'al. 3 en cas d'excès de vitesse visé à l'al. 4 let. a à d. En effet, par son texte et sa définition, l'art. 90 al.</w:t>
      </w:r>
    </w:p>
    <w:p>
      <w:r>
        <w:rPr>
          <w:b/>
        </w:rPr>
        <w:t>E. 3.4.1</w:t>
      </w:r>
    </w:p>
    <w:p>
      <w:r>
        <w:t>En l’occurrence, aucun élément de fait particulier ne permet d’écarter les dangers abstraits qualifiés au sens de l’art. 90 al. 3 LCR, induits par la vitesse très largement excessive du véhicule conduit par F.________. Plus spécialement, il ne résulte pas du dossier que la limitation de vitesse à 50 km/h n’aurait pas eu pour but la sécurité des personnes ou qu’elle aurait été seulement temporaire et ne se justifiait plus. En conséquence, la condition objective de la création d’un grand risque d’accident impliquant des blessures graves ou la mort est réalisée, compte tenu du très grand excès de vitesse commis.</w:t>
      </w:r>
    </w:p>
    <w:p>
      <w:r>
        <w:rPr>
          <w:b/>
        </w:rPr>
        <w:t>E. 3.4.2</w:t>
      </w:r>
    </w:p>
    <w:p>
      <w:r>
        <w:t>L’appelant ne conteste pas la vitesse mesurée, soit 107 km/h (marge de sécurité déduite), mais soutient qu’il ne s’était pas rendu compte du fait qu’il circulait si rapidement. Or en l’espèce, point n’est besoin que F.________ ait eu l’exacte conscience de la vitesse précise à laquelle il roulait. Il suffit qu’il se soit aperçu et accommodé d’une rapidité créant un sérieux danger pour la sécurité d’autrui. L’excès de vitesse massif, lui, était perceptible, car F.________ pouvait ressentir la vitesse du déplacement du véhicule, en entendait le bruit et devait avoir conscience du rapport de vitesse engagé et de l’intensité de l’appui sur la pédale de l’accélérateur. Ces éléments sont suffisants. En circulant à 107 km/h (marge de sécurité déduite) sur un tronçon limité à 50 km/h, F.________ devait tenir pour possible le risque d’accident pouvant entraîner de graves blessures ou la mort et il s’en était incommodé. Faute de circonstance particulière permettant d’écarter la réalisation des aspects subjectifs (cf. consid. 3.4.1 supra), l’infraction a été commise intentionnellement. La condamnation de F.________ en application des art. 90 al. 3 et 4 let. b LCR doit dès lors être confirmée.</w:t>
      </w:r>
    </w:p>
    <w:p>
      <w:r>
        <w:rPr>
          <w:b/>
        </w:rPr>
        <w:t>E. 4</w:t>
      </w:r>
    </w:p>
    <w:p>
      <w:r>
        <w:t>Les deux appels portant également sur le sursis, cette question sera traitée conjointement au ch. II ci-dessous. II. Les appels du Ministère public et de F.________</w:t>
      </w:r>
    </w:p>
    <w:p>
      <w:r>
        <w:rPr>
          <w:b/>
        </w:rPr>
        <w:t>E. 5</w:t>
      </w:r>
    </w:p>
    <w:p>
      <w:r>
        <w:t>La quotité de la peine n’est pas contestée. Vérifiée d’office, elle est adéquate et peut être confirmée par adoption de motifs (art. 82 al. 4 CPP).</w:t>
      </w:r>
    </w:p>
    <w:p>
      <w:r>
        <w:rPr>
          <w:b/>
        </w:rPr>
        <w:t>E. 6.1</w:t>
      </w:r>
    </w:p>
    <w:p>
      <w:r>
        <w:t>F.________ requiert l’octroi d’un sursis complet. Il souligne que l’on ne peut tenir compte des antécédents qui ne figurent plus au casier judiciaire. Il expose en outre qu’en plus des éléments pris en compte à décharge par les premiers juges, il faut relever qu’il n’a commis qu’une seule infraction à la sécurité routière et qu’il s’agissait d’un acte isolé consécutif à une dispute avec son amie. Il met encore en avant le fait qu’il s’est rendu spontanément à la police et que le prononcé d’une peine privative de liberté avec sursis est suffisamment dissuasif pour que l’on renonce à son exécution, même partielle. Le Procureur requiert le prononcé d’une peine ferme. Il rappelle les éléments à charge retenus par les premiers juges et y ajoute que la conduite sous retrait démontrerait que F.________ se moquerait des autorités, que la récidive est spéciale et qu’il aurait agi uniquement pour assouvir un désir momentané, faisant passer ses désirs avant la sécurité des autres usagers de la route.</w:t>
      </w:r>
    </w:p>
    <w:p>
      <w:r>
        <w:rPr>
          <w:b/>
        </w:rPr>
        <w:t>E. 6.2</w:t>
      </w:r>
    </w:p>
    <w:p>
      <w:r>
        <w:t>L’art. 42 al. 1 CP prévoit que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Aux termes de l’art. 43 al. 1 CP, Le juge peut suspendre partiellement l'exécution d'une peine privative de liberté d'un an au moins et de trois ans au plus afin de tenir compte de façon appropriée de la faute de l'auteur. Conformément à l’art. 43 CP, l’octroi d’un sursis partiel suppose, comme l’octroi du sursis complet (42 CP), l’absence de pronostic défavorable (ATF 134 IV 60 consid. 7.4). Si le pronostic sur le comportement futur de l’auteur n’est pas favorable, la loi impose un sursis au moins partiel à l’exécution de la peine (ATF 134 IV 1 consid. 5.3.1). Le sursis total, respectivement partiel, est en effet la règle dont on ne peut s’écarter qu’en présence d’un pronostic défavorable. Il prime en cas d’incertitude (cf. ATF 135 IV 180 consid. 2.1). En revanche, un pronostic négatif exclu le sursis partiel. S’il n’existe aucun espoir que le sursis puisse avoir une quelconque influence sur l’auteur, la peine doit être exécutée entièrement (ATF 134 IV 1 consid 5.3.1). Par ailleurs, lorsque la peine est telle qu’elle permette le choix entre le sursis complet (art. 42 CP) et le sursis partie (art. 43 CP), l’octroi du sursis au sens de l’art. 42 CP est la règle et le sursis partiel l’exception, celle-ci ne devait être admise que si, sous l’angle de la prévention spéciale, l’octroi du sursis pour une partie de la peine ne peut se concevoir que moyennant exécution de l’autre partie ; dès lors l’exception du sursis partiel ne se pose qu’en cas de pronostic très incertains, à savoir lorsqu’il existe des doutes très importants au sujet du comportement futur de l’auteur, notamment au vu de ses antécédents (TF 6B_492/2008 consid. 3.1.1 et 3.1.3).</w:t>
      </w:r>
    </w:p>
    <w:p>
      <w:r>
        <w:rPr>
          <w:b/>
        </w:rPr>
        <w:t>E. 6.3</w:t>
      </w:r>
    </w:p>
    <w:p>
      <w:r>
        <w:t>En l’occurrence, F.________ a raison lorsqu’il soutient qu’on ne peut retenir au chapitre des antécédents que ceux qui figurent au casier judiciaire. La consultation du fichier ADMAS ne doit pas permettre de retenir des condamnations dont les inscriptions sont radiées. Toutefois, on peut donner acte au Ministère public que F.________ a commis une récidive spéciale puisqu’il a été condamné le 11 février 2016 pour violation des règles de la circulation routière et conduite sans permis. Pour l’infraction du 11 février 2016, F.________ a été condamné à une peine pécuniaire de 15 jours-amende à 30 fr., avec sursis pendant 2 ans ainsi qu’à une amende 300 francs. Le sursis accordé à cette occasion n’a manifestement exercé aucun effet dissuasif puisque l’intéressé a récidivé dans le délai d’épreuve minimal de deux ans, en augmentant encore l’importance de la violation aux règles de la circulation routière et en ne tenant toujours pas compte de l’absence de permis. Toutefois, malgré l’antécédent de F.________, le pronostic n’est pas négatif au point de devoir considérer de manière absolue que même l’exécution d’une partie tout de même substantielle de la peine, soit 7 mois, n’aura aucun effet préventif. En effet, vu la situation et au regard de la prévention spéciale, il y a lieu de considérer, avec les premiers juges, que seule l’exécution d’une partie de la peine privative de liberté pourrait détourner F.________ de la commission de nouvelles infractions, étant précisé que durant l’enquête et lors de l’audience de première instance, F.________ a présenté certaines marques de prises de conscience, que la Cour de céans a également pu constater en appel. Le sursis prononcé 11 février 2016 par le Ministère public de l’arrondissement du Nord vaudois sera toutefois révoqué, et fera prendre conscience au condamné de la nécessité de tenir compte des sanctions qui lui sont infligées, même lorsqu’elles sont assorties de la marque de confiance des juges. Vu ce qui précède, tant l’appel du Ministère public que l’appel de F.________ doivent être rejetés sur ce point. L’appel du Ministère public</w:t>
      </w:r>
    </w:p>
    <w:p>
      <w:r>
        <w:rPr>
          <w:b/>
        </w:rPr>
        <w:t>E. 7.1</w:t>
      </w:r>
    </w:p>
    <w:p>
      <w:r>
        <w:t>Le Ministère public requiert l’expulsion facultative de F.________ en raison du fait que, malgré ses antécédents, il a mis sciemment en danger de mort les autres usagers de la route. Il considère ainsi que la protection de la sécurité publique l’emporterait sur l’intérêt du prévenu à résider en Suisse.</w:t>
      </w:r>
    </w:p>
    <w:p>
      <w:r>
        <w:rPr>
          <w:b/>
        </w:rPr>
        <w:t>E. 7.2</w:t>
      </w:r>
    </w:p>
    <w:p>
      <w:r>
        <w:t>Aux termes de l'art. 66a bis CP, le juge peut expulser un étranger du territoire suisse pur une durée de trois à quinze ans si, pour un crime ou un délit non visé à l'art. 66a, celui-ci a été condamné à une peine ou a fait l'objet d'une mesure au sens des art. 59 à 61 ou 64. L'art. 8 CEDH (Convention de sauvegarde des droits de l'homme et des libertés fondamentales ; RS 0.101)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l'art. 8 par. 1 CEDH, l'étranger doit entretenir une relation étroite et effective (ATF 129 II 193 consid. 5.3.1 p. 211) avec une personne de sa famille ayant le droit de résider durablement en Suisse (ATF 130 II 281 consid. 3.1 p. 285). La CEDH ne garantit, comme tel, aucun droit pour un étranger d'entrer ou de résider sur le territoire d'un pays déterminé. Toutefois, exclure une personne d'un pays où vivent ses parents proches peut constituer une ingérence dans le droit au respect de la vie privée et familiale (arrêt de la Cour EDH Moustaquim c. Belgique du 18 février 1991, n° 12313/86, § 36). Pareille ingérence enfreint la Convention si elle ne remplit pas les exigences de l'art.</w:t>
      </w:r>
    </w:p>
    <w:p>
      <w:r>
        <w:rPr>
          <w:b/>
        </w:rPr>
        <w:t>E. 7.3</w:t>
      </w:r>
    </w:p>
    <w:p>
      <w:r>
        <w:t>En l’occurrence, les agissements de F.________ pourraient constituer un cas d’expulsion non obligatoire au sens de l’art. 66a bis CP, au vu de son antécédent et de sa récidive en matière de circulation routière. On relèvera toutefois que F.________ est arrivé en Suisse à l’âge de trois ans, soit il y a plus de 15 ans. Il est titulaire d’un permis C, il est au bénéfice d’un contrat de travail fixe et contribue à l’entretien de ses parents et de ses frères et sœurs avec lesquels il vit en Suisse. C’est par ailleurs sur notre territoire que se trouvent l’ensemble de ses intérêts et de ses attaches. A cela s’ajoute que F.________ n’est jamais retourné en Angola depuis son arrivée en Suisse, qu’il ne possède dans ce pays que de la famille éloignée qu’il ne connait pas, et qu’il ne parle pas le portugais. Vu ce qui précède, il ne sera pas fait application de l’art. 66a bis CP, étant précisé que la présente cause est bien différente de celle ayant donné lieu au jugement de la Cour d’appel pénale du 16 avril 2018 (CAPE 16 avril 2018/69), confirmé par le Tribunal fédéral (TF 6B_607/2018 du 10 octobre 2018) citée par le Procureur. Dans l’arrêt précité, le prévenu avait, en l’espace de moins de six mois, été appréhendé à trois reprises pour avoir circulé sous retrait de permis et alors qu’il était, deux fois sur les trois, sous l’influence de l’alcool. Avant ces faits, il avait été condamné à trois reprises soit pour conduite en ébriété, soit pour circulation sous retrait de permis. Il n’a pas collaboré à l’enquête, tentant de se légitimer auprès des autorités sous le nom de son frère. Enfin, il était arrivé dans notre pays en 2010 à l’âge de 21 ans, son insertion en Suisse n’était pas bonne puisqu’il avait été durablement sans activité. L’appel du Ministère public sera également rejeté sur ce point.</w:t>
      </w:r>
    </w:p>
    <w:p>
      <w:r>
        <w:rPr>
          <w:b/>
        </w:rPr>
        <w:t>E. 8</w:t>
      </w:r>
    </w:p>
    <w:p>
      <w:r>
        <w:t>En définitive, l’appel de F.________ et l’appel du Ministère public doivent être rejetés et le jugement attaqué confirmé. Me Jérôme Reymond s’en est remis à justice s’agissant de la fixation de son indemnité de défenseur d’office de F.________. Il lui sera alloué 5h00 pour la procédure d’appel, une heure d’entretien avec le client, une heure pour l’audience d’appel et 120 fr. pour la vacation. C’est ainsi une indemnité d’un montant de 1'486 fr. 25, TVA et débours inclus, sera allouée au défenseur d’office de F.________. Vu l’issue de la cause, l'émolument de jugement, par 1’940 fr. (art. 21 al. 1 et 2 TFIP [Tarif des frais de procédure et indemnités en matière pénale du 28 septembre 2010 ; BLV 312.03.1]), ainsi que l’indemnité allouée à son défenseur d’office seront mis pour moitié à la charge de l’appelant, le solde étant laissé à la charge de l’Etat. L'appelant ne sera tenu de rembourser à l’Etat la part mise à sa charge du montant de l'indemnité allouée à son défenseur d’office pour la procédure d’appel que lorsque sa situation financière le permettra (art. 135 al. 4 let. a CPP). La Cour d’appel pénale appliquant les articles 40, 43, 46 al. 1, 47, 49 al. 1, 50 CP ; 90 al. 3 et 4 litt. b et 95 al. 1 litt.b LCR ; 398 ss CPP, prononce : I. L’appel de F.________ est rejeté. II. L’appel du Ministère public est rejeté. III. Le jugement rendu le 23 octobre 2018 par le Tribunal correctionnel de l’arrondissement de Lausanne est confirmé selon le dispositif suivant : " I. constate que F.________ s’est rendu coupable de violation grave qualifiée des règles de la circulation routière et de conduite sans autorisation; II. condamne F.________ à une peine privative de liberté de quinze mois; III. suspend l’exécution d’une partie de la peine portant sur huit mois et fixe à F.________ un délai d’épreuve de cinq ans; IV. révoque le sursis accordé le 11 février 2016 par le Ministère public de l’arrondissement du Nord Vaudois et ordonne l’exécution de la peine pécuniaire de quinze jours-amende à 30 fr. le jour prononcée par cette autorité; V. renonce à ordonner l’expulsion de F.________ du territoire suisse; VI. arrête l’indemnité d’office de Me Jérôme Reymond, défenseur d’office de F.________, à 2'501 fr. 20, TVA et débours compris ; VII. met les frais de la cause, par 6'001 fr. 20, à la charge de F.________, ce montant comprenant l’indemnité de son défenseur d’office arrêtée sous chiffre VI, laquelle n’est remboursable par le condamné que si ses moyens financiers le lui permettent". IV. Une indemnité de défenseur d'office pour la procédure d'appel d'un montant de 1'486 fr. 25 , TVA et débours inclus, est allouée à Me Jérôme Reymond. V. Les frais d'appel, par 3'426 fr. 25, y compris l'indemnité allouée au défenseur d'office, sont mis par moitié, soit 1'713 fr. 10, à la charge de F.________, le solde étant laissé à la charge de l’Etat. VI. F.________ ne sera tenu de rembourser à l’Etat la moitié du montant de l’indemnité en faveur de son conseil d’office prévue au ch. IV. ci-dessus que lorsque sa situation financière le permettra . Le président :              La greffière : Du Le jugement qui précède, dont le dispositif a été communiqué par écrit aux intéressés le 4 mars 2019 , est notifié, par l'envoi d'une copie complète, à : - Me Jérôme Reymond, avocat (pour F.________), - Ministère public central, et communiqué à : - Mme la Présidente du Tribunal correctionnel de l'arrondissement de Lausanne, - M. le Procureur de l'arrondissement de Lausanne, - Office d'exécution des peines, - Service de la population,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