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166 vom 6. Mai 2019</w:t>
      </w:r>
    </w:p>
    <w:p>
      <w:r>
        <w:t>VD Tribunal cantonal, 2019-05-06, FR</w:t>
      </w:r>
    </w:p>
    <w:p>
      <w:r>
        <w:rPr>
          <w:b/>
        </w:rPr>
        <w:t xml:space="preserve">Quelle: </w:t>
      </w:r>
      <w:r>
        <w:t>https://mcp.opencaselaw.ch/entscheid/vd_findinfo_D_cision___2019___166</w:t>
      </w:r>
    </w:p>
    <w:p>
      <w:r>
        <w:t>FR: VD_FINDINFO Décision / 2019 / 166 du 6 mai 2019</w:t>
      </w:r>
    </w:p>
    <w:p>
      <w:r>
        <w:t>IT: VD_FINDINFO Décision / 2019 / 166 del 6 maggio 2019</w:t>
      </w:r>
    </w:p>
    <w:p>
      <w:pPr>
        <w:pStyle w:val="Heading2"/>
      </w:pPr>
      <w:r>
        <w:t>Regeste</w:t>
      </w:r>
    </w:p>
    <w:p>
      <w:r>
        <w:t>NON-LIEU, ESCROQUERIE, ABUS DE CONFIANCE, APPROPRIATION ILLÉGITIME, GAGE | 137 CP, 138 ch. 1 CP, 146 al. 1 CP, 310 CPP (CH)</w:t>
      </w:r>
    </w:p>
    <w:p>
      <w:pPr>
        <w:pStyle w:val="Heading2"/>
      </w:pPr>
      <w:r>
        <w:t>Erwägungen</w:t>
      </w:r>
    </w:p>
    <w:p>
      <w:r>
        <w:rPr>
          <w:b/>
        </w:rPr>
        <w:t>E. 1</w:t>
      </w:r>
    </w:p>
    <w:p>
      <w:r>
        <w:t>Interjeté dans le délai légal auprès de l’autorité compétente par les parties plaignantes consortes, qui ont la qualité pour recourir (cf. art. 382 al. 1 CPP [Code de procédure pénale suisse du 5 octobre 2007; RS 312.0]), le recours est recevable. Les pièces nouvelles produites à l’appui du recours sont recevables (art. 390 al. 4 in fine CPP; CREP 31 janvier 2019/78 consid. 2.1).</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(TF 6B_1104/2017 du 13 avril 2018 consid. 2.3.1 et les références citées). Celui-ci découle du principe de la légalité (art. 5 al. 1 Cst. [Constitution fédérale de la Confédération suisse; RS 101]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ATF 138 IV 86 consid. 4.1.2 p. 91 et les références citées; TF 6B_1010/2018 du 22 janvier 2019 consid. 3.1; TF 6B_635/2018 du 24 octobre 2018 consid. 2.1.1).</w:t>
      </w:r>
    </w:p>
    <w:p>
      <w:r>
        <w:rPr>
          <w:b/>
        </w:rPr>
        <w:t>E. 3</w:t>
      </w:r>
    </w:p>
    <w:p>
      <w:r>
        <w:t>Dans le cas particulier, la Procureure a laissé ouverte la question du for vaudois. Le premier prêt litigieux est de peu antérieur à l’accession, par L.________, à la fonction d’administrateur président, avec signature individuelle, de la société. L.________ a agi comme organe, de fait respectivement de droit, d’une entreprise dont le siège se trouvait sans discontinuer dans le canton de Vaud. En outre, il doit être réputé avoir agi au lieu d’exploitation de la société plutôt qu’à celui de sa résidence privée. La compétence ratione loci des autorités pénales vaudoises doit donc être admise en application de l’art. 36 al. 2 CPP, sinon même selon la clause générale de l’art. 31 al. 1 CP. Peu importe toutefois, en l’absence de tout conflit de compétence et vu ce qui suit.</w:t>
      </w:r>
    </w:p>
    <w:p>
      <w:r>
        <w:rPr>
          <w:b/>
        </w:rPr>
        <w:t>E. 4.1</w:t>
      </w:r>
    </w:p>
    <w:p>
      <w:r>
        <w:t>Les recourantes soutiennent d’abord que les éléments constitutifs de l’escroquerie seraient réalisés.</w:t>
      </w:r>
    </w:p>
    <w:p>
      <w:r>
        <w:rPr>
          <w:b/>
        </w:rPr>
        <w:t>E. 4.2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(ATF 142 IV 153 consid. 2.2.2; TF 6B_1010/2018 précité consid. 3.3.1 et les réf. citées). L'astuce au sens légal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ATF 135 IV 76 consid. 5.2; ATF 133 IV 256 consid. 4.4.3).</w:t>
      </w:r>
    </w:p>
    <w:p>
      <w:r>
        <w:rPr>
          <w:b/>
        </w:rPr>
        <w:t>E. 4.3.1</w:t>
      </w:r>
    </w:p>
    <w:p>
      <w:r>
        <w:t>La particularité du présent cas est que les prêts ont été assortis de garanties mobilières assimilables à des gages, mais sans remise en nantissement des valeurs mobilières en faveur de l’un au moins des créanciers ou d’un tiers détenteur (tel que, p. ex., une banque dépositaire). Les contrats dont se prévalent les recourants sont soumis au droit luxembourgeois, avec prorogation de for en matière civile en faveur des tribunaux du Grand-Duché. Toutefois, les recourants n’ont pas fourni la preuve du droit étranger. Peu importe toutefois, pour les motifs indiqués ci-dessus. En effet, en droit suisse, en dehors des exceptions prévues par la loi, les choses mobilières ne peuvent être constituées en gage que sous forme de nantissement (art. 884 al. 1 CC [Code civil; RS 210]). Ainsi, le droit de gage n'existe pas tant que le constituant garde exclusivement la maîtrise effective de la chose (art. 884 al. 3 CC). Le fait que la possession du gage (par le créancier ou un tiers détenteur du gage) est une condition impérative de la constitution et du maintien du nantissement ressort en outre de l’art 888 CC. Indépendamment du droit applicable aux contrats en cause, ces normes expriment le principe général en affaires selon lequel la remise en nantissement constitue une protection essentielle pour le créancier, tout comme elle évite que le débiteur augmente artificiellement son crédit en affichant indument des signes extérieurs de richesse par la possession de biens meubles grevés (cf. ATF 99 II 34).</w:t>
      </w:r>
    </w:p>
    <w:p>
      <w:r>
        <w:rPr>
          <w:b/>
        </w:rPr>
        <w:t>E. 4.3.2</w:t>
      </w:r>
    </w:p>
    <w:p>
      <w:r>
        <w:t>En l’espèce, il aurait été loisible aux prêteurs, s’agissant de surcroît de contrats portant sur des montants importants et passés par des parties visiblement rompues aux affaires internationales, de soumettre les garanties mobilières au droit suisse, à savoir à la loi du lieu d’exécution des contrats. Cette réserve n’aurait pas même impliqué de soumettre l’ensemble des contrats au droit suisse. La diligence à attendre des prêteurs était à la mesure de l’importance des capitaux en cause, s’agissant de contrats qui excédaient très largement les affaires quotidiennes (cf. ATF 142 IV 153 consid. 2.2.2 et 2.2.4). La question de savoir si l’emprunteuse, respectivement son administrateur, avait l’intention de rembourser les emprunts est reléguée au second plan par les mesures de protection élevées face au risque de carence du débiteur commandées par les circonstances. En renonçant à la protection découlant de la remise en nantissement des valeurs mobilières constituées en garanties, les recourants ont ainsi failli à une précaution élémentaire quel que soit le droit applicable aux contrats. Ce faisant, ils ont agi avec une légèreté qui exclut l’astuce au sens de l’art. 146 CP.</w:t>
      </w:r>
    </w:p>
    <w:p>
      <w:r>
        <w:rPr>
          <w:b/>
        </w:rPr>
        <w:t>E. 4.3.3</w:t>
      </w:r>
    </w:p>
    <w:p>
      <w:r>
        <w:t>Au surplus, l’hypothèse que des gages mobiliers portant sur les mêmes objets garantissent deux prêts au moins est expressément prévue par le Code civil (art. 893 CC), étant ajouté que la date de la remise en nantissement détermine le rang du gage (ATF 51 II 273). Il s’agit ainsi d’une circonstance courante en affaires. Partant, il n’y a rien d’aberrant – donc qui aurait empêché les prêteurs de se prémunir de l’insolvabilité de l’emprunteur – dans le fait que cinq des dix montres aient constitué les garanties de chacun des deux emprunts plutôt que d’un seul. A cet égard aussi, les recourants ont ainsi manqué de diligence dans une mesure excluant l’astuce. De même, on ne discerne pas en quoi un emprunteur obtenant des prêts de deux créanciers indépendamment l’un de l’autre agirait astucieusement au sens pénal de ce seul fait; bien plutôt, un tel cas de figure est assez commun en affaires.</w:t>
      </w:r>
    </w:p>
    <w:p>
      <w:r>
        <w:rPr>
          <w:b/>
        </w:rPr>
        <w:t>E. 4.3.4</w:t>
      </w:r>
    </w:p>
    <w:p>
      <w:r>
        <w:t>Les recourants considèrent également que le fait que les montres n’aient pas été « restituées (sic) à leurs ayants droits au moment de l’appel à garantie » (recours, p. 15 in fine) devrait faire l’objet de mesures d’instruction. Il n’en est rien. En effet, la carence pénalement dénoncée procède de l’inexécution, par l’emprunteur, de ses obligations découlant des contrats de prêt. Il s’agit donc d’une question relevant exclusivement du droit privé. Comme déjà mentionné, il aurait été loisible aux prêteurs de parer à une telle carence en convenant d’une remise en nantissement des montres en leur faveur, soit de la constitution d’un gage mobilier au sens du droit suisse.</w:t>
      </w:r>
    </w:p>
    <w:p>
      <w:r>
        <w:rPr>
          <w:b/>
        </w:rPr>
        <w:t>E. 5.1</w:t>
      </w:r>
    </w:p>
    <w:p>
      <w:r>
        <w:t>Les recourants soutiennent ensuite que les éléments constitutifs de l’abus de confiance seraient réalisés.</w:t>
      </w:r>
    </w:p>
    <w:p>
      <w:r>
        <w:rPr>
          <w:b/>
        </w:rPr>
        <w:t>E. 5.2</w:t>
      </w:r>
    </w:p>
    <w:p>
      <w:r>
        <w:t>Aux termes de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L'infraction d’abus de confiance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133 IV 21 consid. 6.2; ATF 129 IV 257 consid. 2.2.1; ATF 121 IV 23 consid. 1; ATF 119 IV 127 consid. 2).</w:t>
      </w:r>
    </w:p>
    <w:p>
      <w:r>
        <w:rPr>
          <w:b/>
        </w:rPr>
        <w:t>E. 5.3</w:t>
      </w:r>
    </w:p>
    <w:p>
      <w:r>
        <w:t>Les plaignants se réclament des contrats et de la bonne foi en affaires. Ils allèguent être devenus les propriétaires des montres sitôt l’appel à la garantie, soit la mise en demeure, adressé à L.________ (recours, p. 20 in fine). Ce moyen procède d’une évidente confusion quant à la finalité d’une procédure pénale. En effet, la voie pénale ne saurait tendre à la constatation d’un droit de propriété au titre d’une revendication mobilière procédant de l’interprétation d’un contrat, qui plus est soumis au droit étranger. Un droit de propriété ne peut être présumé à défaut de tradition des valeurs mobilières litigieuses. Il n’y a dès lors pas chose confiée, ce qui exclut l’abus de confiance. Au vrai, le moyen invoqué est de nature purement civile.</w:t>
      </w:r>
    </w:p>
    <w:p>
      <w:r>
        <w:rPr>
          <w:b/>
        </w:rPr>
        <w:t>E. 5.4</w:t>
      </w:r>
    </w:p>
    <w:p>
      <w:r>
        <w:t>Par identité de motifs, soit à défaut de toute preuve d’un droit de propriété des plaignants (cf. Dupuis/Moreillon/Piguet/Berger/Mazou/Rodigari [éd.], Petit commentaire CP, 2 e éd., Bâle 2017, n. 6 ad art. 137 CP, avec renvoi aux remarques préliminaires sous n. 14, p. 864), il ne saurait y avoir appropriation illégitime au sens de l’art. 137 CP (cf. recours, p. 21).</w:t>
      </w:r>
    </w:p>
    <w:p>
      <w:r>
        <w:rPr>
          <w:b/>
        </w:rPr>
        <w:t>E. 6</w:t>
      </w:r>
    </w:p>
    <w:p>
      <w:r>
        <w:t>Enfin, la Cour constate d’office que le délai de plainte est échu à la date du 26 septembre 2018 s’agissant de l’infraction de détournement de choses frappées d'un droit de gage ou de rétention (art. 145 CP). Cela n’est du reste pas contesté.</w:t>
      </w:r>
    </w:p>
    <w:p>
      <w:r>
        <w:rPr>
          <w:b/>
        </w:rPr>
        <w:t>E. 7</w:t>
      </w:r>
    </w:p>
    <w:p>
      <w:r>
        <w:t>Aucune mesure d’instruction n’est de nature à établir plus avant les faits déterminants. Il en va ainsi, en particulier, de celles qui font l’objet des conclusions principales du recours. A défaut de toute infraction pénale susceptible d’être poursuivie, qu’elle soit réputée commise par L.________ ou par quiconque, c’est à juste titre que la procureure a refusé d’entrer en matière sur la plainte. En définitive, le recours, manifestement mal fondé, doit être rejeté sans échange d’écritures (art. 390 al. 2 CPP) et l’ordonnance attaquée confirmée. Les frais de la procédure de recours, constitués en l’espèce du seul émolument d’arrêt (art. 422 al. 1 CPP), par 1’100 fr. (art. 20 al. 1 TFIP [Tarif des frais de procédure et indemnités en matière pénale du 28 septembre 2010; BLV 312.03.1]), seront mis à la charge des recourants, qui succombent (art. 428 al. 1 CPP), à parts égales et solidairement entre eux (art. 418 al. 1 et 2 CPP). Par ces motifs, la Chambre des recours pénale prononce : I. Le recours est rejeté. II. L’ordonnance du 28 septembre 2018 est confirmée. III. Les frais d’arrêt, par 1’100 fr. (mille cent francs), sont mis à la charge des recourants, par moitié chacun et solidairement entre eux. IV. L’arrêt est exécutoire. Le président :               Le greffier : Du Le présent arrêt, dont la rédaction a été approuvée à huis clos, est notifié, par l'envoi d'une copie complète, à : - Me Jean-Charles Lopez, avocat (pour T.________ et J.________),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