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159 vom 20. Februar 2019</w:t>
      </w:r>
    </w:p>
    <w:p>
      <w:r>
        <w:t>VD Tribunal cantonal, 2019-02-20, FR</w:t>
      </w:r>
    </w:p>
    <w:p>
      <w:r>
        <w:rPr>
          <w:b/>
        </w:rPr>
        <w:t xml:space="preserve">Quelle: </w:t>
      </w:r>
      <w:r>
        <w:t>https://mcp.opencaselaw.ch/entscheid/vd_findinfo_D_cision___2019___159</w:t>
      </w:r>
    </w:p>
    <w:p>
      <w:r>
        <w:t>FR: VD_FINDINFO Décision / 2019 / 159 du 20 février 2019</w:t>
      </w:r>
    </w:p>
    <w:p>
      <w:r>
        <w:t>IT: VD_FINDINFO Décision / 2019 / 159 del 20 febbraio 2019</w:t>
      </w:r>
    </w:p>
    <w:p>
      <w:pPr>
        <w:pStyle w:val="Heading2"/>
      </w:pPr>
      <w:r>
        <w:t>Regeste</w:t>
      </w:r>
    </w:p>
    <w:p>
      <w:r>
        <w:t>BRACELET ÉLECTRONIQUE, DURÉE, MAXIMUM, CUMUL{QUANTITÉ}, EXÉCUTION DES PEINES ET DES MESURES | 79b CP, 38 LEP, 2 RESE</w:t>
      </w:r>
    </w:p>
    <w:p>
      <w:pPr>
        <w:pStyle w:val="Heading2"/>
      </w:pPr>
      <w:r>
        <w:t>Erwägungen</w:t>
      </w:r>
    </w:p>
    <w:p>
      <w:r>
        <w:rPr>
          <w:b/>
        </w:rPr>
        <w:t>E. 1.1</w:t>
      </w:r>
    </w:p>
    <w:p>
      <w:r>
        <w:t>Aux termes de l'art. 38 al. 1 LEP (Loi sur l’exécution des condamnations pénales du 4 juillet 2006;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w:t>
      </w:r>
    </w:p>
    <w:p>
      <w:r>
        <w:rPr>
          <w:b/>
        </w:rPr>
        <w:t>E. 1.2</w:t>
      </w:r>
    </w:p>
    <w:p>
      <w:r>
        <w:t>En l’espèce, interjeté dans le délai légal auprès de l'autorité compétente, par un condamné qui a qualité pour recourir (art. 382 al. 1 CPP), le recours est recevable, sous réserve ce qui suit (cf. infra , consid. 2.4).</w:t>
      </w:r>
    </w:p>
    <w:p>
      <w:r>
        <w:rPr>
          <w:b/>
        </w:rPr>
        <w:t>E. 2</w:t>
      </w:r>
    </w:p>
    <w:p>
      <w:r>
        <w:t>al. 1 RESE et appliqué correctement par l'autorité d'exécution. Il s'ensuit que la première condition pour bénéficier du régime de la surveillance électronique n'est pas remplie, les conditions personnelles relatives à l'octroi d'un tel régime n'ayant dès lors pas à être examinées.</w:t>
      </w:r>
    </w:p>
    <w:p>
      <w:r>
        <w:rPr>
          <w:b/>
        </w:rPr>
        <w:t>E. 2.1</w:t>
      </w:r>
    </w:p>
    <w:p>
      <w:r>
        <w:t>Le recourant reproche à l’OEP de lui avoir refusé l’exécution de ses peines sous le régime de la surveillance électronique. Il expose en substance qu'il a déposé sa demande le 28 février 2018 alors qu'il ne devait qu'exécuter à cette époque une peine privative de liberté de 150 jours (recte : 250 jours), qu'en raison de l'écoulement du temps, une nouvelle peine a porté le cumul des peines à 370 jours et qu'il serait ainsi privé du régime de la surveillance électronique pour 5 jours seulement. Il présente simultanément une demande "pour faire des travaux généraux dès maintenant", de façon à pouvoir réduire sa peine de moitié et de pouvoir ensuite purger le solde sous le régime de la surveillance électronique.</w:t>
      </w:r>
    </w:p>
    <w:p>
      <w:r>
        <w:rPr>
          <w:b/>
        </w:rPr>
        <w:t>E. 2.2</w:t>
      </w:r>
    </w:p>
    <w:p>
      <w:r>
        <w:t>Introduite par la loi fédérale du 19 juin 2015, la réforme du droit des sanctions est en vigueur depuis le 1 er janvier 2018 (RO 2016 p. 1249; FF 2012 p. 4385). Issu de cette réforme, le nouvel art. 79b al. 1 CP (Code pénal du 21 décembre 1937;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BLV 340.95.5), entré en vigueur le 1 er janvier 2018 et qui précise les conditions découlant du droit fédéral. L'art. 2 al. 1 RESE reprend la limite temporelle imposée par l'art. 79b al. 1 let. a CP, en stipulant que la surveillance électronique est admissible à condition que la peine prononcée ou la durée totale des peines exécutables simultanément soit comprise entre 20 jours au minimum et 12 mois au maximum. Les conditions personnelles à remplir pour bénéficier du régime de la surveillance électronique figurent à l'art. 4 al. 1 RESE. Aux termes de l'art. 4 O-CP-CPM (Ordonnance relative au code pénal et au code pénal militaire du 19 septembre 2006; RS 311.01), si, lors de l'exécution, il y a concours de plusieurs peines privatives de liberté, elles sont exécutées simultanément, conformément aux art. 76 à 79 CP, leur durée totale étant déterminante. Selon la jurisprudence, cette durée totale ne peut être calculée que si la quotité des peines à cumuler est connue. Tel n'est le cas qu'après que des décisions ont été rendues dans les procédures concernées, contre lesquelles toutes les voies de recours produisant un effet suspensif ont été épuisées ou n'ont pas été utilisées dans le délai légal. Il ne peut être procédé à un cumul qu'après que des décisions définitives, ayant force de chose jugée, ont été rendues (TF 6B_440/2012 du 14 décembre 2012 consid. 2.2.1; CREP 4 août 2016/504).</w:t>
      </w:r>
    </w:p>
    <w:p>
      <w:r>
        <w:rPr>
          <w:b/>
        </w:rPr>
        <w:t>E. 2.3</w:t>
      </w:r>
    </w:p>
    <w:p>
      <w:r>
        <w:t>En l'espèce, le recourant ne conteste pas expressément la motivation de la décision attaquée, laquelle se révèle bien fondée. En effet, compte tenu sa condamnation par ordonnance pénale du 9 octobre 2018, définitive et exécutoire, le cumul des peines privatives de liberté exécutables simultanément est bien de 370 jours, ce qui excède la limite supérieure de 12 mois. Cela étant, même si cette dernière condamnation engendre un dépassement de quelques jours seulement, ni le Code pénal, ni le RESE ne prévoient d'exception à cet égard. Par ailleurs, même si la demande du recourant de pouvoir bénéficier du régime de la surveillance électronique date du 28 février 2018, il n'apparaît pas que l'autorité d'exécution soit responsable du temps qui s'est écoulé depuis lors, puisque des délais ont dû être accordés au recourant pour qu'il produise les documents requis et qu'il semble par ailleurs ne pas s'être présenté à la première convocation de la Fondation vaudoise de probation. Pour le surplus, X.________ ne semble pas non plus s'en prendre au principe du cumul des peines, expressément prévu par les art. 4 O-CP-CPM et</w:t>
      </w:r>
    </w:p>
    <w:p>
      <w:r>
        <w:rPr>
          <w:b/>
        </w:rPr>
        <w:t>E. 2.4</w:t>
      </w:r>
    </w:p>
    <w:p>
      <w:r>
        <w:t>Enfin, la question d'un éventuel travail d'intérêt général n'a pas été soumise préalablement à l'OEP, de sorte que le recours est irrecevable sur ce point.</w:t>
      </w:r>
    </w:p>
    <w:p>
      <w:r>
        <w:rPr>
          <w:b/>
        </w:rPr>
        <w:t>E. 3</w:t>
      </w:r>
    </w:p>
    <w:p>
      <w:r>
        <w:t>Au vu de ce qui précède, le recours, manifestement mal fondé, doit être rejeté sans échange d'écritures (art. 390 al. 2 CPP), dans la mesure où il est recevable, et la décision du 28 janvier 2019 confirmée. Les frais de la procédure de recours, constitués en l’espèce de l’émolument d'arrêt, par 660 fr. (art. 20 al. 1 TFIP [Tarif des frais de procédure et indemnités en matière pénale du 28 septembre 2010; RSV 312.03.1]), seront mis à la charge de X.________ qui succombe (art. 428 al. 1 CPP). Par ces motifs, la Chambre des recours pénale prononce : I. Le recours est rejeté dans la mesure où il est recevable. II. La décision du 28 janvier 2019 est confirmée. III. Les frais d’arrêt, par 660 fr. (six cent soixante francs), sont mis à la charge de X.________. IV. L’arrêt est exécutoire. Le président :               Le greffier : Du Le présent arrêt, dont la rédaction a été approuvée à huis clos, est notifié, par l'envoi d'une copie complète, à : - M. X.________, - Ministère public central, et communiqué à : ‑ Office d'exécution des peines, - Fondation vaudoise de probation,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