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153 vom 20. Februar 2019</w:t>
      </w:r>
    </w:p>
    <w:p>
      <w:r>
        <w:t>VD Tribunal cantonal, 2019-02-20, FR</w:t>
      </w:r>
    </w:p>
    <w:p>
      <w:r>
        <w:rPr>
          <w:b/>
        </w:rPr>
        <w:t xml:space="preserve">Quelle: </w:t>
      </w:r>
      <w:r>
        <w:t>https://mcp.opencaselaw.ch/entscheid/vd_findinfo_D_cision___2019___153</w:t>
      </w:r>
    </w:p>
    <w:p>
      <w:r>
        <w:t>FR: VD_FINDINFO Décision / 2019 / 153 du 20 février 2019</w:t>
      </w:r>
    </w:p>
    <w:p>
      <w:r>
        <w:t>IT: VD_FINDINFO Décision / 2019 / 153 del 20 febbraio 2019</w:t>
      </w:r>
    </w:p>
    <w:p>
      <w:pPr>
        <w:pStyle w:val="Heading2"/>
      </w:pPr>
      <w:r>
        <w:t>Regeste</w:t>
      </w:r>
    </w:p>
    <w:p>
      <w:r>
        <w:t>DÉTENTION PROVISOIRE, RISQUE DE RÉCIDIVE, MENACE{DROIT PÉNAL} | 221 al. 1 let. c CPP (CH), 227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19 juin 2017/403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 Conformément à l’art. 91 al. 4 CPP, le mémoire est réputé déposé en temps utile devant l’autorité de recours s’il est parvenu dans le délai à une autorité suisse incompétente, qui a le devoir de le transmettre sans retard à l’autorité compétente. En l’espèce,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A teneur de l’art. 221 al. 1 CPP, la détention provisoire suppose que le prévenu soit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2.3</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 ATF 137 IV 84 consid. 3.2 et les réf.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(ATF 143 IV 9 consid. 2.6 et 2.7 et les réf. citées,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w:t>
      </w:r>
    </w:p>
    <w:p>
      <w:r>
        <w:rPr>
          <w:b/>
        </w:rPr>
        <w:t>E. 2.4</w:t>
      </w:r>
    </w:p>
    <w:p>
      <w:r>
        <w:t>En l’espèce, le recourant affirme en substance qu’il serait victime de diffamation de la part de son épouse B.E.________, qui ne l’aurait épousé que pour les papiers et qui manipulerait leur fille C.E.________, âgée de cinq ans. Il s’en prend en outre au Service de protection de la jeunesse (SPJ), qu’il estime coupable de malveillance, de manque de professionnalisme et de mauvais jugement, étant selon lui manipulé par son épouse. Admettant avoir proféré des menaces à l’encontre de son épouse, il soutient que celles-ci constituaient une réponse à la menace de son épouse de lui enlever sa fille. Il se dit choqué qu’on pense qu’il veuille tuer la mère de son enfant, affirmant que celui qui veut vraiment tuer une personne ne prévient pas à l’avance. Par cette argumentation, le recourant échoue à démontrer en quoi l’ordonnance entreprise reposerait sur une constatation incomplète ou erronée des faits ou consacrerait une violation des principes juridiques applicables. Force est de constater, sur le vu du dossier, qu’il existe à l’encontre du recourant de sérieux soupçons de culpabilité portant sur la commission de délits graves et que les éléments mis en avant par le Tribunal des mesures de contrainte dans son ordonnance du 1 er décembre 2018, dont il a à juste titre relevé dans son ordonnance du 12 février 2019 présentement attaquée qu’ils gardaient toute leur pertinence, permettent de retenir un risque concret de récidive, respectivement de passage à l’acte justifiant la détention provisoire. Enfin, la durée totale de la détention provisoire respecte manifestement le principe de la proportionnalité, eu égard à la peine encourue par le recourant au vu de la gravité des faits qui lui sont reprochés et de ses antécédents.</w:t>
      </w:r>
    </w:p>
    <w:p>
      <w:r>
        <w:rPr>
          <w:b/>
        </w:rPr>
        <w:t>E. 3</w:t>
      </w:r>
    </w:p>
    <w:p>
      <w:r>
        <w:t>Il résulte de ce qui précède que le recours, manifestement mal fondé, doit être rejeté sans autres échanges d’écritures (art. 390 al. 2 CPP) et l’ordonnance du 12 février 2019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12 février 2019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Manuela Ryter Godel, avocate (pour A.E.________), - Ministère public central, et communiqué à : - Mme la présidente du Tribunal des mesures de contrainte, - M. le procureur de l’arrondissement du Nord vaudois, - Prison de la Croisée, - Mme [...], - M. [...], - Me Matthieu Genillod, avocat (pour B.E.________),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