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150 vom 7. Februar 2019</w:t>
      </w:r>
    </w:p>
    <w:p>
      <w:r>
        <w:t>VD Tribunal cantonal, 2019-02-07, FR</w:t>
      </w:r>
    </w:p>
    <w:p>
      <w:r>
        <w:rPr>
          <w:b/>
        </w:rPr>
        <w:t xml:space="preserve">Quelle: </w:t>
      </w:r>
      <w:r>
        <w:t>https://mcp.opencaselaw.ch/entscheid/vd_findinfo_D_cision___2019___150</w:t>
      </w:r>
    </w:p>
    <w:p>
      <w:r>
        <w:t>FR: VD_FINDINFO Décision / 2019 / 150 du 7 février 2019</w:t>
      </w:r>
    </w:p>
    <w:p>
      <w:r>
        <w:t>IT: VD_FINDINFO Décision / 2019 / 150 del 7 febbraio 2019</w:t>
      </w:r>
    </w:p>
    <w:p>
      <w:pPr>
        <w:pStyle w:val="Heading2"/>
      </w:pPr>
      <w:r>
        <w:t>Regeste</w:t>
      </w:r>
    </w:p>
    <w:p>
      <w:r>
        <w:t>DÉCISION D'IRRECEVABILITÉ, INTÉRÊT ACTUEL, AUDITION OU INTERROGATOIRE | 382 al. 1 CPP (CH)</w:t>
      </w:r>
    </w:p>
    <w:p>
      <w:pPr>
        <w:pStyle w:val="Heading2"/>
      </w:pPr>
      <w:r>
        <w:t>Erwägungen</w:t>
      </w:r>
    </w:p>
    <w:p>
      <w:r>
        <w:rPr>
          <w:b/>
        </w:rPr>
        <w:t>E. 1.1</w:t>
      </w:r>
    </w:p>
    <w:p>
      <w:r>
        <w:t>Le recourant soutient que l’art. 394 let. b CPP ne serait pas applicable, l’ordonnance attaquée étant susceptible de causer un préjudice irréparable aux prévenus. Sur le fond, il invoque une violation des art. 3 al.</w:t>
      </w:r>
    </w:p>
    <w:p>
      <w:r>
        <w:rPr>
          <w:b/>
        </w:rPr>
        <w:t>E. 1.2</w:t>
      </w:r>
    </w:p>
    <w:p>
      <w:r>
        <w:t>Selon l’art. 382 al. 1 CPP,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2019 consid. 1.1).</w:t>
      </w:r>
    </w:p>
    <w:p>
      <w:r>
        <w:rPr>
          <w:b/>
        </w:rPr>
        <w:t>E. 1.3</w:t>
      </w:r>
    </w:p>
    <w:p>
      <w:r>
        <w:t>En l’espèce, le Ministère public n’a pris aucune décision statuant dans un cas concret, et en particulier dans un cas concret concernant le recourant. Il n’a pas refusé à ce dernier le droit de poser une question précise à un témoin ou à un autre prévenu. A.V.________ n’a donc pas d’intérêt actuel et pratique à la modification de l’ordonnance attaquée et, par conséquent, ne possède pas la qualité pour recourir.</w:t>
      </w:r>
    </w:p>
    <w:p>
      <w:r>
        <w:rPr>
          <w:b/>
        </w:rPr>
        <w:t>E. 2</w:t>
      </w:r>
    </w:p>
    <w:p>
      <w:r>
        <w:t>Il résulte de ce qui précède que le recours doit être déclaré irrecevable, sans autre échange d’écritures (art. 390 al. 2 CPP). Les frais de la procédure de recours, constitués en l’espèce de l’émolument d’arrêt, par 660 fr. (art. 20 al. 1 TFIP [Tarif des frais de procédure et indemnités en matière pénale du 28 septembre 2010 ; BLV 312.03.1]), et des frais imputables à la défense d’office (art. 422 al. 1 et 2 let. a CPP), fixés à 540 fr., plus la TVA par 41 fr. 60, soit à 581 fr. 60 au total, seront mis à la charge du recourant, qui doit être considéré comme ayant succombé (art. 428 al. 1, 2 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irrecevable. II. L’indemnité allouée au défenseur d’office d’A.V.________ est fixée à 581 fr. 60 (cinq cent huitante et un francs et soixante centimes). III. Les frais d’arrêt, par 660 fr. (six cent soixante francs), ainsi que l’indemnité due au défenseur d’office d’A.V.________, par 581 fr. 60 (cinq cent huitante et un francs et soixante centimes), sont mis à la charge de ce dernier. IV. Le remboursement à l’Etat de l’indemnité allouée au chiffre II ci-dessus ne sera exigible que pour autant que la situation financière d’A.V.________ le permette. V. L’arrêt est exécutoire. Le président : La greffière : Du Le présent arrêt, dont la rédaction a été approuvée à huis clos, est notifié, par l'envoi d'une copie complète, à : - Me Ludovic Tirelli, avocat (pour A.V.________), - Me Jérôme Campart, avocat (pour C.V.________), - Me Antonella Cereghetti Zwahlen, avocate (pour E.V.________), - Me David Abikzer, avocat (pour B.V.________), - Me Fabien Mingard, avocat (pour O.________), - Me Christophe Tafelmacher, avocat (pour H.________), - Me Cléa Bouchat, avocate (pour D.________), - Me Alexandre Saillet, avocat (pour [...]), - Me Juliette Perrin, avocate (pour [...]), - Ministère public central, et communiqué à : - M. le Procureur de l’arrondissement de l’Est vaudois, - Police cantonale vaudois, Police de sûreté – Brigade des stupéfiants,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