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131 vom 5. Februar 2019</w:t>
      </w:r>
    </w:p>
    <w:p>
      <w:r>
        <w:t>VD Tribunal cantonal, 2019-02-05, FR</w:t>
      </w:r>
    </w:p>
    <w:p>
      <w:r>
        <w:rPr>
          <w:b/>
        </w:rPr>
        <w:t xml:space="preserve">Quelle: </w:t>
      </w:r>
      <w:r>
        <w:t>https://mcp.opencaselaw.ch/entscheid/vd_findinfo_D_cision___2019___131</w:t>
      </w:r>
    </w:p>
    <w:p>
      <w:r>
        <w:t>FR: VD_FINDINFO Décision / 2019 / 131 du 5 février 2019</w:t>
      </w:r>
    </w:p>
    <w:p>
      <w:r>
        <w:t>IT: VD_FINDINFO Décision / 2019 / 131 del 5 febbraio 2019</w:t>
      </w:r>
    </w:p>
    <w:p>
      <w:pPr>
        <w:pStyle w:val="Heading2"/>
      </w:pPr>
      <w:r>
        <w:t>Regeste</w:t>
      </w:r>
    </w:p>
    <w:p>
      <w:r>
        <w:t>RÉCUSATION, MINISTÈRE PUBLIC | 56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S.________ à l’encontre du Procureur W.________ (art. 13 LVCPP [Loi vaudoise du 19 mai 2009 d’introduction du code de procédure pénale suisse; BLV 312.01]).</w:t>
      </w:r>
    </w:p>
    <w:p>
      <w:r>
        <w:rPr>
          <w:b/>
        </w:rPr>
        <w:t>E. 2.1.1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w:t>
      </w:r>
    </w:p>
    <w:p>
      <w:r>
        <w:rPr>
          <w:b/>
        </w:rPr>
        <w:t>E. 2.1.2</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ATF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(TF 1P.334/2002 du 3 mars 2002, in SJ 2003 I p. 174).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ATF 138 IV 142 consid. 2.2.2; TF 1B_415/2011 du 25 octobre 2011; Verniory, in Commentaire romand, Code de procédure pénale suisse, 2011, n. 64 ad art. 56 CPP). Dans ce cadre, ni les art. 29 et 30 Cst., ni l'art. 6 par. 1 CEDH ne confèrent au prévenu une protection particulière lui permettant de se plaindre de l'attitude du ministère public et des opinions exprimées par celui-ci durant les débats (ATF 124 I 76 consid. 2 p. 77 ss; ATF 118 Ia 95 consid. 3b p. 98; 112 Ia 142 consid. 2a p. 143 s. et les arrêts cités).</w:t>
      </w:r>
    </w:p>
    <w:p>
      <w:r>
        <w:rPr>
          <w:b/>
        </w:rPr>
        <w:t>E. 2.1.3</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TF 1B_512/2017 du 30 janvier 2018 consid. 3; TF 6B_540/2018 du 31 juillet 2018 consid. 2.2;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TF 1B_60/2014 du 1 er mai 2014 consid. 2.2 et les arrêts cités; JdT 2015 III 113;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w:t>
      </w:r>
    </w:p>
    <w:p>
      <w:r>
        <w:rPr>
          <w:b/>
        </w:rPr>
        <w:t>E. 2.2.1</w:t>
      </w:r>
    </w:p>
    <w:p>
      <w:r>
        <w:t>Le requérant expose tout d'abord que le Procureur a soutenu l’accusation lors du procès ayant conduit à sa condamnation, une telle circonstance justifiant selon lui sa récusation. En l'occurrence, le Procureur W.________ intervient dans le cadre d’une procédure d’examen de la libération conditionnelle d’une peine privative de liberté précédant la mise en œuvre d’un internement. Dans cette situation particulière, l’autorité amenée à statuer est le tribunal criminel et le procureur n’intervient que comme partie, de sorte qu’il n’est pas tenu à l’impartialité. Mal fondé, le moyen du requérant doit être rejeté.</w:t>
      </w:r>
    </w:p>
    <w:p>
      <w:r>
        <w:rPr>
          <w:b/>
        </w:rPr>
        <w:t>E. 2.2.2</w:t>
      </w:r>
    </w:p>
    <w:p>
      <w:r>
        <w:t>Le requérant reproche ensuite au Procureur d’avoir fait preuve d’acharnement lors du procès ayant conduit à sa condamnation. Fournissant une série d’exemples qui seraient survenus lors de la phase de l'enquête préliminaire et de l'instruction, il en conclut que le magistrat aurait manqué de retenue et d’impartialité. On peut se demander si les motifs soulevés ici, faute d'avoir été invoqués au moment de son procès par l’intéressé, alors assisté d’un défenseur, ne sont pas tardifs, ce qui aurait pour conséquence de rendre la requête de récusation irrecevable sur ce point. La question peut toutefois rester ouverte dès lors qu’il y a lieu de rejeter ce moyen pour les raisons exposées ci-dessous.</w:t>
      </w:r>
    </w:p>
    <w:p>
      <w:r>
        <w:rPr>
          <w:b/>
        </w:rPr>
        <w:t>E. 2.2.3</w:t>
      </w:r>
    </w:p>
    <w:p>
      <w:r>
        <w:t>En effet, force est de constater que les circonstances particulières ressortant de la demande de récusation sont invoquées de manière téméraire, dès lors qu’elles n’ont jamais fait l’objet d’une quelconque demande en ce sens précédemment, et que ces assertions ne sont pas étayées par un quelconque indice susceptible de leur conférer une apparence de fiabilité. D’ailleurs, le procédé rédactionnel de cette demande, consistant à dire « Mon client fait en outre valoir plusieurs raisons qui lui font ressentir une prévention particulière à son égard, qu’il ne m’est pas possible de vérifier dans le détail et que je vous apporte telles quelles ici », révèle également le caractère abusif de la démarche, le défenseur du requérant concédant n’avoir procédé à aucune vérification et se présentant comme le simple porte-parole de son client. En outre, certains propos tenus envers le Procureur ne sont pas loin de la diffamation ou de la calomnie, par exemple ceux relatifs à une soi-disant déclaration de ce dernier selon laquelle le magistrat aurait annoncé qu’il « aurait sa peau ».</w:t>
      </w:r>
    </w:p>
    <w:p>
      <w:r>
        <w:rPr>
          <w:b/>
        </w:rPr>
        <w:t>E. 3</w:t>
      </w:r>
    </w:p>
    <w:p>
      <w:r>
        <w:t>Il résulte de ce qui précède que la demande de récusation, non seulement mal fondée, mais également téméraire, doit être rejetée dans la mesure où elle est recevable. Les frais de la présente procédure, constitués de l’émolument de décision (art. 422 al. 1 CPP), par 990 fr. (art. 20 al. 1 TFIP [Tarif des frais de procédure et indemnités en matière pénale du 28 septembre 2010; BLV 312.03.1]), seront mis à la charge du requérant, qui succombe (art. 59 al. 4, 2 e phrase, CPP). Vu son caractère clairement abusif, la demande de récusation présentée par l’avocat Philippe Egli n’était pas justifiée par l’accomplissement de sa tâche de défenseur d’office. Elle ne saurait dès lors justifier l’allocation d’une indemnité d'office (TPF BB.2017.107 du 15 décembre 2017 consid. 4.1.3; TPF BB.2016.388 du 6 avril 2017 consid. 6.1; Valticos, in: Valticos/Geiser/Chappuis [éd.], Commentaire romand, Loi fédérale sur la libre circulation des avocats, Bâle 2010, n. 257 ad art. 12 LLCA). Aucun débours ne sera donc compris dans les frais de procédure (art. 422 al. 2 CPP). Par ces motifs, la Chambre des recours pénale prononce : I. La demande de récusation présentée le 12 décembre 2018 par S.________ à l’encontre du Procureur W.________ est rejetée dans la mesure où elle est recevable. II. Les frais de la procédure de récusation, par 990 fr. (neuf cent nonante francs), sont mis à la charge de S.________. III. Aucune indemnité d’office n’est allouée pour la procédure de récusation. IV. La décision est exécutoire. Le président :               Le greffier : Du La présente décision, dont la rédaction a été approuvée à huis clos, est notifié, par l'envoi d'une copie complète, à : - Me Philippe Egli, avocat (pour S.________), - Ministère public central, et communiquée à : - M. le Président du Tribunal d’arrondissement de La Côte, - M. le Procureur de l’arrondissement de La Côte, par l’envoi de photocopies. La présente décision peut faire l'objet d'un recours en matière pénale devant le Tribunal fédéral au sens des art. 78 ss LTF (Loi sur le Tribunal fédéral du 17 juin 2005;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