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127 vom 18. Februar 2019</w:t>
      </w:r>
    </w:p>
    <w:p>
      <w:r>
        <w:t>VD Tribunal cantonal, 2019-02-18, FR</w:t>
      </w:r>
    </w:p>
    <w:p>
      <w:r>
        <w:rPr>
          <w:b/>
        </w:rPr>
        <w:t xml:space="preserve">Quelle: </w:t>
      </w:r>
      <w:r>
        <w:t>https://mcp.opencaselaw.ch/entscheid/vd_findinfo_D_cision___2019___127</w:t>
      </w:r>
    </w:p>
    <w:p>
      <w:r>
        <w:t>FR: VD_FINDINFO Décision / 2019 / 127 du 18 février 2019</w:t>
      </w:r>
    </w:p>
    <w:p>
      <w:r>
        <w:t>IT: VD_FINDINFO Décision / 2019 / 127 del 18 febbraio 2019</w:t>
      </w:r>
    </w:p>
    <w:p>
      <w:pPr>
        <w:pStyle w:val="Heading2"/>
      </w:pPr>
      <w:r>
        <w:t>Regeste</w:t>
      </w:r>
    </w:p>
    <w:p>
      <w:r>
        <w:t>DÉCISION D'IRRECEVABILITÉ, COMPORTEMENT IRRESPECTUEUX | 110 al. 4 CPP</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au motif qu'elle contient des propos inconvenants,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Aux termes de l'art. 110 al. 4 CPP, la direction de la procédure peut retourner à l'expéditeur une requête illisible, incompréhensible, inconvenante ou prolixe, en lui impartissant un délai pour la corriger et en l'avertissant qu'à défaut, la requête ne sera pas prise en considération. L’art. 110 al. 4 CPP est en principe applicable à toute écriture adressée à une autorité pénale (TF 6B_204/2017 du 5 décembre 2017).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TF 6B_933/2015 du 22 juin 2016 consid. 3.1 et 3.3; TF 1B_465/2013 du 8 janvier 2014 consid. 2; TF 1B_387/2013 du 1 er novembre 2013 consid. 2; TF 6B_640/2010 du 18 octobre 2010 consid. 1). Le fait d'accuser des magistrats d'être des criminels est manifestement outrancier et inconvenant (TF 1B_387/2013 du 1 er novembre 2013; CREP 23 juillet 2018/554).</w:t>
      </w:r>
    </w:p>
    <w:p>
      <w:r>
        <w:rPr>
          <w:b/>
        </w:rPr>
        <w:t>E. 1.3</w:t>
      </w:r>
    </w:p>
    <w:p>
      <w:r>
        <w:t>En l'espèce, dans son acte du 11 janvier 2019, le recourant, en citant expressément "Votre sœur, la juge [...]" a écrit ce qui suit: "votre système irrémédiablement dégénéré déjante toujours davantage, car votre complot vous rend incapables de corriger vos crimes." et "C'est tout à mon honneur que votre organisation du crime en bande organisée m'a tellement en grippe." De tels propos sont à l’évidence outranciers et inconvenants envers la magistrate concernée et l'autorité de recours. Ils sont, dès lors, totalement inadmissibles. Avisé que le contenu de son acte du 11 janvier 2019 était inconvenant, le recourant a été invité à le corriger dans un délai échéant au 4 février 2019, à défaut de quoi il ne serait pas entré en matière sur le recours. Par courrier du 3 février 2019, le recourant a expressément refusé de corriger le contenu de son recours, poussant même la provocation jusqu'à insérer dans sa lettre une photographie du président de l'autorité de recours. Il s'avère donc que le recours n'a pas été rectifié en temps utile.</w:t>
      </w:r>
    </w:p>
    <w:p>
      <w:r>
        <w:rPr>
          <w:b/>
        </w:rPr>
        <w:t>E. 2</w:t>
      </w:r>
    </w:p>
    <w:p>
      <w:r>
        <w:t>Au vu de ce qui précède, l’acte déposé le 11 janvier 2019 par E.________ est irrecevable. Les frais de la procédure, constitués en l’espèce du seul émolument d’arrêt (art. 422 al. 1 CPP), par 550 fr. (art. 20 al. 1 TFIP [tarif des frais de procédure et indemnités en matière pénal; BLV 312.03.1]), seront mis à la charge de E.________, qui succombe (art. 59 al. 4 et 428 al. 1 CPP). Par ces motifs, la Chambre des recours pénale prononce : I. Le recours est irrecevable. II. Les frais d'arrêt, par 550 fr. (cinq cent cinquante francs), sont mis à la charge de E.________. III. L’arrêt est exécutoire. Le président :               La greffière : Du Le présent arrêt, dont la rédaction a été approuvée à huis clos, est notifié, par l'envoi d'une copie complète, à : - M. E.________, - Ministère public central, et communiqué à : - M. le Président du Tribunal d'arrondissement de La Côte, - Mme la Procureure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