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106 vom 5. Februar 2019</w:t>
      </w:r>
    </w:p>
    <w:p>
      <w:r>
        <w:t>VD Tribunal cantonal, 2019-02-05, FR</w:t>
      </w:r>
    </w:p>
    <w:p>
      <w:r>
        <w:rPr>
          <w:b/>
        </w:rPr>
        <w:t xml:space="preserve">Quelle: </w:t>
      </w:r>
      <w:r>
        <w:t>https://mcp.opencaselaw.ch/entscheid/vd_findinfo_D_cision___2019___106</w:t>
      </w:r>
    </w:p>
    <w:p>
      <w:r>
        <w:t>FR: VD_FINDINFO Décision / 2019 / 106 du 5 février 2019</w:t>
      </w:r>
    </w:p>
    <w:p>
      <w:r>
        <w:t>IT: VD_FINDINFO Décision / 2019 / 106 del 5 febbraio 2019</w:t>
      </w:r>
    </w:p>
    <w:p>
      <w:pPr>
        <w:pStyle w:val="Heading2"/>
      </w:pPr>
      <w:r>
        <w:t>Regeste</w:t>
      </w:r>
    </w:p>
    <w:p>
      <w:r>
        <w:t>ACTION RÉCURSOIRE, FRAIS DE LA PROCÉDURE, EXCUSABILITÉ | 420 CPP</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BLV 312.01]; art. 80 LOJV [loi vaudoise d’organisation judiciaire; BLV 173.01]). Interjeté dans le délai légal auprès de l’autorité compétente par la partie plaignante, de surcroît tenue aux frais, qui a la qualité pour recourir (art. 382 al. 1 et art. 396 al. 1 CPP), le recours est recevable, étant précisé que la mise à charge des frais de procédure peut être contestée à l’instar du sort de l’action pénale (cf. not. CREP 11 décembre 2015/813).</w:t>
      </w:r>
    </w:p>
    <w:p>
      <w:r>
        <w:rPr>
          <w:b/>
        </w:rPr>
        <w:t>E. 1.2</w:t>
      </w:r>
    </w:p>
    <w:p>
      <w:r>
        <w:t>Le recours porte uniquement sur les conséquences économiques accessoires d'une décision et le montant litigieux est supérieur à 5'000 francs. La présente cause est donc de la compétence de la Chambre des recours pénale statuant comme autorité collégiale (art. 395 let. b CPP, a contrario, et art. 13 al. 2 LVCPP [loi d’introduction du Code de procédure pénale suisse; BLV 312.01]; CREP 29 mai 2015/372 consid. 1.2).</w:t>
      </w:r>
    </w:p>
    <w:p>
      <w:r>
        <w:rPr>
          <w:b/>
        </w:rPr>
        <w:t>E. 2</w:t>
      </w:r>
    </w:p>
    <w:p>
      <w:r>
        <w:t>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de la possibilité d’intenter une action récursoire contre les personnes qui lui ont causé, intentionnellement ou par négligence grave, des frais de procédure; il en va de même pour ce qui est des indemnités diverses et de la réparation du tort moral subi par des tiers (TF 6B_5/2013 du 19 février 2013 consid. 2.5 et 2.6; Crevoisier, in : Kuhn/Jeanneret [éd.], Code de procédure pénale suisse, Commentaire romand, Bâle 2011, nn. 1 s. ad art. 420 CPP; Domeisen, in : Niggli/Heer/Wiprächtiger [éd.], Basler Kommentar, Schweizerische Strafprozess-ordnung, Jugendstrafprozessordnung, Art. 196-457 StPO – Art. 1-54 JStPO, 2 e éd., Bâle 2014, nn. 2 et 4 ad art. 420 CPP et les références citées; Pitteloud, Code de procédure pénale suisse, Commentaire à l’usage des praticiens, Zurich/St-Gall 2012, n. 1283 et les références citées). L’action récursoire peut porter sur toutes les dépenses assumées par l’Etat en raison du fait de tiers (Domeisen, in : Niggli/Heer/ Wiprächtiger [éd.], op. cit., n. 4 ad art. 420 CPP; Pitteloud, op. cit., n. 1283). La première condition pour qu’une action puisse être intentée est que le responsable ait agi intentionnellement ou ait fait preuve de négligence. D’une certaine manière, cette condition est identique à celle qui prévaut dans le cadre d’infractions poursuivies sur plainte en autorisant à condamner à des frais le plaignant qui aurait « agi de manière téméraire ou par négligence grave », par application de l’art. 427 al. 2 CPP (Pitteloud, op. cit., n. 1284; CREP 27 novembre 2017 consid. 2.2 et les références citées; CREP 9 mai 2016/301 consid. 3.2.3 et les références citées).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(Chappuis, in : Kuhn/Jeanneret [éd.], op. cit., n. 5 ad art. 427 CPP; Domeisen, in : Niggli/Heer/Wiprächtiger, op. cit., nn. 8 à 12 ad art. 427 CPP; Griesser, in : Donatsch/Hansjakob/Lieber [éd.], Kommentar zur Schweizerischen Strafprozessordnung, 2 e éd., Zurich/Bâle 2014, nn. 7 à 11 ad art. 427 CPP). Sous la notion de témérité se retrouve la notion de faute (Chappuis, ibidem). Il faut examiner si un plaideur consciencieux, placé dans la même situation, aurait déposé plainte (ibidem).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consid. 4.2.2, JdT 2013 IV 191; TF 6B_438/2013 du 18 juillet 2013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TF 6B_438/2013 du 18 juillet 2013 consid. 2.1; CREP 10 octobre 2016/549) consid. 3.1 in fine et les références citées; CREP 10 juin 2015/389 consid. 2.1 et les références citées).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(cf. p. ex. TF 6B_784/2014 du 18 septembre 2015 consid. 2.2 ad CREP 14 mai 2014/341).</w:t>
      </w:r>
    </w:p>
    <w:p>
      <w:r>
        <w:rPr>
          <w:b/>
        </w:rPr>
        <w:t>E. 3.1</w:t>
      </w:r>
    </w:p>
    <w:p>
      <w:r>
        <w:t>En l’espèce, par suite des deux plaintes déposées par la recourante contre son ex-compagnon et ex-associé les 7 juillet 2014 et 25 février 2015 (P. 5/1 et 13/1, déjà citées), le Ministère public a mené l’enquête durant plus de quatre ans et a instruit l’ensemble des faits dénoncés. En définitive, il a considéré, en substance, que la plupart des comportements de violence physique dénoncés par la plaignante étaient susceptibles de constituer des voies de fait qualifiées, qui étaient prescrites. Quant à l’infraction d’injure, la plainte paraissait tardive et, ici également, la prescription était acquise. Par ailleurs, s’agissant des faits du 12 mars 2010 (cas 1.6), aucune mise en danger de la vie d’autrui ne serait établie car rien ne permettrait d’admettre que le prévenu avait serré le cou de la plaignante, celle-ci ayant déclaré qu’elle n’avait pas été empêchée de respirer, ni avoir perdu connaissance. Concernant les événements du 4 septembre 2011 (cas 1.8), elle avait expliqué avoir été serrée au cou mais n’avait rapporté aucun symptôme tel qu’un empêchement de respirer, de parler ou encore une vision « d’étoiles », précisant qu’elle n’avait constaté aucune trace au niveau du cou. Dès lors, un élément objectif de l’infraction réprimée par l’art. 129 CP faisait manifestement défaut en l’espèce. Pour le surplus, les mesures d’instruction effectuées, notamment l’audition des personnes ayant participé à titre professionnel à l’acquisition du restaurant, n’avaient pas permis d’établir qu’il n’existait pas de volonté commune d’acquisition du restaurant et que la plaignante aurait réellement été menacée à cette occasion ou par la suite. Concernant les relations sexuelles non consenties alléguées par la plaignante, les faits auraient été dénoncés très tardivement et aucun constat gynécologique n’avait pu être établi, les versions des parties restant ainsi irrémédiablement contradictoires. En outre, s’agissant de l’exploitation de la société, la plaignante n’était pas lésée par certaines infractions qu’elle avait dénoncées. De surcroît, l’instruction n’avait pas permis d’établir l’existence de comportements frauduleux du prévenu, s’agissant en particulier de la poursuite de l’exploitation du restaurant sous raison individuelle.</w:t>
      </w:r>
    </w:p>
    <w:p>
      <w:r>
        <w:rPr>
          <w:b/>
        </w:rPr>
        <w:t>E. 3.2</w:t>
      </w:r>
    </w:p>
    <w:p>
      <w:r>
        <w:t>La recourante soutient que ce n’est, pour l’essentiel, qu’au bénéfice de l’écoulement du temps que le prévenu a bénéficié d’un classement. On ne saurait dès lors, selon elle, mettre les frais à sa charge, alors qu’elle n’a eu aucune maîtrise sur la durée de l’enquête. Elle expose en outre avoir fourni de multiples moyens de preuve et mis en avant suffisamment d’éléments justifiant l’ouverture d’une procédure pénale, de sorte qu’on ne saurait considérer qu’elle a agi par négligence grave ou par malveillance.</w:t>
      </w:r>
    </w:p>
    <w:p>
      <w:r>
        <w:rPr>
          <w:b/>
        </w:rPr>
        <w:t>E. 3.3</w:t>
      </w:r>
    </w:p>
    <w:p>
      <w:r>
        <w:t>Préalablement à tout examen des faits dénoncés, le Ministère public a justifié le classement notamment par la prescription de l’infraction de voies de fait qualifiées et par le manque de preuves, s’agissant des infractions dénoncées les plus graves. Le raisonnement du Procureur ne comporte aucun élément concret permettant d’admettre que la recourante aurait été de mauvaise foi ou qu’elle aurait délibérément cherché à compliquer le déroulement de l’enquête par des procédés déraisonnables ou même fantaisistes. On peine donc quelque peu à comprendre que le Ministère public, à la fin de sa motivation relative aux effets accessoires du classement, impute entièrement à la recourante la responsabilité d’une procédure pénale tenue, à bon escient, pour « extrêmement compliquée ». En premier lieu, une absence de preuve ou des preuves insuffisantes ne sauraient être assimilées à la preuve d’un comportement téméraire. Si la procédure a pris une grande ampleur, c’est aussi parce que la direction de la procédure a estimé qu’il y avait matière à investigation, ce qui étaye l’argumentation de la recourante. De plus, le Ministère public n’indique pas concrètement, ni dans l’ordonnance attaquée, ni dans ses déterminations du 31 janvier 2019, à quel égard l’attitude de la plaignante en procédure aurait été déraisonnable. En définitive, dans ce contexte, il n’est pas possible de conclure avec certitude que la recourante aurait délibérément ou par négligence grave causé un dommage à l’État, étant précisé que ce préjudice n’est susceptible de consister en l’occurrence qu’en les frais de procédure au sens strict, aucune indemnité au sens de l’art. 429 CPP n’ayant été allouée au prévenu. Enfin, le fait que ce dernier ne soit libéré de l’action pénale qu’au seul bénéfice de la prescription quant à des infractions importantes donne tout de même un certain crédit à la démarche de la recourante.</w:t>
      </w:r>
    </w:p>
    <w:p>
      <w:r>
        <w:rPr>
          <w:b/>
        </w:rPr>
        <w:t>E. 4</w:t>
      </w:r>
    </w:p>
    <w:p>
      <w:r>
        <w:t>En définitive, le recours doit être admis et le chiffre VII du dispositif de l’ordonnance attaquée annulé. L’ordonnance est maintenue pour le surplus. Vu l’issue de la cause, les frais de la procédure de recours, constitués de l’émolument d’arrêt (art. 422 al. 1 CPP), par 1’100 fr. (art. 20 al. 1 TFIP [Tarif des frais de procédure et indemnités en matière pénale du 28 septembre 2010; BLV 312.03.1]), et de l’indemnité allouée au conseil juridique gratuit de la recourante (art. 422 al. 1 et 2 let. a CPP), par 360 fr., plus la TVA, soit 387 fr. 70, seront laissés à la charge de l’Etat (art. 423 al. 1 CPP). Par ces motifs, la Chambre des recours pénale prononce : I. Le recours est admis. II. Le chiffre VII du dispositif de l’ordonnance du 23 octobre 2018 est annulé. L’ordonnance est maintenue pour le surplus. III. L’indemnité allouée au conseil juridique gratuit de la recourante est fixée à 387 fr. 70 (trois cent huitante-sept francs et septante centimes). IV. Les frais de la procédure de recours, par 1’100 fr. (mille cent francs), ainsi que l’indemnité due au conseil juridique gratuit de la recourante, par 387 fr. 70 (trois cent huitante-sept francs et septante centimes), sont laissés à la charge de l’Etat. V. L’arrêt est exécutoire. Le président :               Le greffier : Du Le présent arrêt, dont la rédaction a été approuvée à huis clos, est notifié, par l'envoi d'une copie complète, à : - Me Habib Tabet, avocat (pour X.________), - Ministère public central, et communiqué à : - Me Georges Reymond, avocat (pour Z.________),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