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1038 vom 27. November 2019</w:t>
      </w:r>
    </w:p>
    <w:p>
      <w:r>
        <w:t>VD Tribunal cantonal, 2019-11-27, FR</w:t>
      </w:r>
    </w:p>
    <w:p>
      <w:r>
        <w:rPr>
          <w:b/>
        </w:rPr>
        <w:t xml:space="preserve">Quelle: </w:t>
      </w:r>
      <w:r>
        <w:t>https://mcp.opencaselaw.ch/entscheid/vd_findinfo_D_cision___2019___1038</w:t>
      </w:r>
    </w:p>
    <w:p>
      <w:r>
        <w:t>FR: VD_FINDINFO Décision / 2019 / 1038 du 27 novembre 2019</w:t>
      </w:r>
    </w:p>
    <w:p>
      <w:r>
        <w:t>IT: VD_FINDINFO Décision / 2019 / 1038 del 27 novembre 2019</w:t>
      </w:r>
    </w:p>
    <w:p>
      <w:pPr>
        <w:pStyle w:val="Heading2"/>
      </w:pPr>
      <w:r>
        <w:t>Regeste</w:t>
      </w:r>
    </w:p>
    <w:p>
      <w:r>
        <w:t>INDEMNITÉ{EN GÉNÉRAL} | 429 CPP (CH)</w:t>
      </w:r>
    </w:p>
    <w:p>
      <w:pPr>
        <w:pStyle w:val="Heading2"/>
      </w:pPr>
      <w:r>
        <w:t>Erwägungen</w:t>
      </w:r>
    </w:p>
    <w:p>
      <w:r>
        <w:rPr>
          <w:b/>
        </w:rPr>
        <w:t>E. 1.1</w:t>
      </w:r>
    </w:p>
    <w:p>
      <w:r>
        <w:t>Aux termes de l’art. 393 al. 1 let. a CPP, le recours est recevable contre les décisions et actes de procédure de la police, du ministère public et des autorités pénales compétentes en matière de contraventions. Les parties peuvent ainsi attaquer une ordonnance mixte de suspension et de classement rendue par le ministère public en application des art. 314 et 319 ss CPP dans les dix jours devant l’autorité de recours (art. 314 al. 5,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auprès de l’autorité compétente par le prévenu qui a la qualité pour recourir (art. 382 al. 1 CPP), le recours est recevable en tant qu’il est dirigé contre le refus de lui allouer une indemnité au sens de l’art. 429 CPP.</w:t>
      </w:r>
    </w:p>
    <w:p>
      <w:r>
        <w:rPr>
          <w:b/>
        </w:rPr>
        <w:t>E. 1.2</w:t>
      </w:r>
    </w:p>
    <w:p>
      <w:r>
        <w:t>L’écriture déposée par Z.________ doit par ailleurs être déclarée irrecevable s’agissant de l’octroi de toute autre indemnité, voire, si tant est qu’on la comprenne, s’agissant d’une éventuelle demande de mise en liberté, faute pour le prévenu d’avoir préalablement fait valoir ses éventuels droits auprès d’une juridiction de première instance.</w:t>
      </w:r>
    </w:p>
    <w:p>
      <w:r>
        <w:rPr>
          <w:b/>
        </w:rPr>
        <w:t>E. 2.1</w:t>
      </w:r>
    </w:p>
    <w:p>
      <w:r>
        <w:t>Le recourant fait grief à la Procureure d’avoir refusé de lui allouer une indemnité au sens de l’art. 429 CPP au motif qu’il aurait renoncé à en requérir une à ce stade.</w:t>
      </w:r>
    </w:p>
    <w:p>
      <w:r>
        <w:rPr>
          <w:b/>
        </w:rPr>
        <w:t>E. 2.2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A teneur de l’art. 429 al. 2 CPP, l'autorité pénale examine d'office les prétentions du prévenu. Elle peut enjoindre à celui-ci de les chiffrer et de les justifier. Si cette disposition consacre à cet égard la maxime d’instruction (art. 6 CPP), l’indemnisation du prévenu ne peut cependant pas avoir lieu d’office ; ce n’est qu’une fois saisie d’une demande du prévenu, après l’avoir le cas échéant interpellé, que l’autorité compétente peut se prononcer sur la question (Moreillon/Parein-Reymond, Petit commentaire, Code de procédure pénale, 2 e éd. Bâle 2016, nn. 28 s. ad art. 429 CPP ; TF 6B_118/2016 du 20 mars 2017 consid. 3 ; TF 1B_475/2011 du 11 janvier 2012 consid. 2.2 et 2.3). C’est en effet au prévenu qu’il appartient de prouver le bien-fondé de ses prétentions (TF 6B_995/2019 du 25 octobre 2019 consid. 1.1.1 et les références citées). Par ailleurs, la renonciation à une indemnisation est possible ; un comportement passif peut ainsi équivaloir à une renonciation lorsque le prévenu ne réagit pas à l'invitation faite par l'autorité selon l'art. 429 al. 2 CPP de chiffrer et justifier ses prétentions (TF 6B_842/2014 du 3 novembre 2014 consid. 2.1 ; TF 6B_472/2012 du 13 novembre 2012 consid. 2.4). L’art. 318 al. 1 CPP prévoit qu’avant de rendre une ordonnance de classement, un avis de prochaine clôture est adressé aux parties. Ainsi, une indemnisation ne saurait être refusée au motif que le prévenu n’a élevé aucune prétention alors même qu’il n’a pas été interpellé (Parein, Le devoir d’interpellation en matière d’indemnisation des frais de défense du prévenu, in : Revue de l’avocat 2014, pp. 443 ss, spéc. p. 446). Le Tribunal fédéral a d’ailleurs validé la pratique consistant à interpeller par avis de prochaine clôture et à enjoindre de prendre des conclusions chiffrées et justifiées (TF 6B_814/2017 du 9 mars 2018 consid. 1.3.1).</w:t>
      </w:r>
    </w:p>
    <w:p>
      <w:r>
        <w:rPr>
          <w:b/>
        </w:rPr>
        <w:t>E. 2.3</w:t>
      </w:r>
    </w:p>
    <w:p>
      <w:r>
        <w:t>En l’espèce, l’avis de prochaine clôture adressé au défenseur du recourant le 18 septembre 2019 l’enjoignait à fournir « les éléments nécessaires à l’éventuelle application de l’article 429 CPP », auquel il renvoyait expressément, dans un délai échéant au 30 septembre 2019. Or, le recourant n’a pas fait valoir de prétentions dans le délai imparti. Bien plutôt, il a clairement indiqué qu’il renonçait, à ce stade, à réclamer une indemnité au sens de l’art. 429 al. 1 let. c CPP. Dans ces conditions, le recourant est particulièrement malvenu de reprocher à la Procureure d’avoir considéré qu’il renonçait à requérir une indemnité fondée sur l’art. 429 CPP à ce stade et, partant, de ne pas lui avoir alloué une telle indemnité, étant de surcroît précisé qu’une indemnité au sens de l’art. 429 al. 1 let. a CPP n’entrait pas en ligne de compte au vu de la défense d’office dont il bénéficie et qu’il n’a jamais fait valoir le moindre dommage économique au sens de l’art. 429 al. 1 let. b CPP.</w:t>
      </w:r>
    </w:p>
    <w:p>
      <w:r>
        <w:rPr>
          <w:b/>
        </w:rPr>
        <w:t>E. 3</w:t>
      </w:r>
    </w:p>
    <w:p>
      <w:r>
        <w:t>Il s’ensuit que le recours, manifestement mal fondé, doit être rejeté dans la mesure où il est recevable, sans échange d’écritures (art. 390 al. 2 CPP), et l’ordonnance entreprise confirmée. Vu l’issue de la cause, les frais de la procédure de recours, constitués, dans la mesure où il a procédé sans l’assistance de son défenseur d’office, du seul émolument d’arrêt, par 660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4 novembre 2019 est confirmée. III. Les frais d’arrêt, par 660 fr. (six cent soixante francs), sont mis à la charge d’Z.________. IV. L’arrêt est exécutoire. Le président :               La greffière : Du Le présent arrêt, dont la rédaction a été approuvée à huis clos, est notifié, par l'envoi d'une copie complète, à : - Me Cinzia Petito, avocate (pour Z.________), - Ministère public central, et communiqué à : ‑ Mme la Procureure cantonale Strada, - M. M.________, - Mme C.________, - Mme B.________, - M. Q.________, - M. J.________, - Mme W.________, - Mme G.________ (pour S.________), - Mme X.________, - M. H.________, - M. L.________, - M. K.________,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