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1018 vom 28. November 2019</w:t>
      </w:r>
    </w:p>
    <w:p>
      <w:r>
        <w:t>VD Tribunal cantonal, 2019-11-28, FR</w:t>
      </w:r>
    </w:p>
    <w:p>
      <w:r>
        <w:rPr>
          <w:b/>
        </w:rPr>
        <w:t xml:space="preserve">Quelle: </w:t>
      </w:r>
      <w:r>
        <w:t>https://mcp.opencaselaw.ch/entscheid/vd_findinfo_D_cision___2019___1018</w:t>
      </w:r>
    </w:p>
    <w:p>
      <w:r>
        <w:t>FR: VD_FINDINFO Décision / 2019 / 1018 du 28 novembre 2019</w:t>
      </w:r>
    </w:p>
    <w:p>
      <w:r>
        <w:t>IT: VD_FINDINFO Décision / 2019 / 1018 del 28 novembre 2019</w:t>
      </w:r>
    </w:p>
    <w:p>
      <w:pPr>
        <w:pStyle w:val="Heading2"/>
      </w:pPr>
      <w:r>
        <w:t>Regeste</w:t>
      </w:r>
    </w:p>
    <w:p>
      <w:r>
        <w:t>EXÉCUTION ANTICIPÉE DES PEINES ET DES MESURES, DÉTENTION PROVISOIRE, ENQUÊTE PÉNALE, RISQUE DE COLLUSION, REJET DE LA DEMANDE | 236 CPP (CH)</w:t>
      </w:r>
    </w:p>
    <w:p>
      <w:pPr>
        <w:pStyle w:val="Heading2"/>
      </w:pPr>
      <w:r>
        <w:t>Erwägungen</w:t>
      </w:r>
    </w:p>
    <w:p>
      <w:r>
        <w:rPr>
          <w:b/>
        </w:rPr>
        <w:t>E. 1</w:t>
      </w:r>
    </w:p>
    <w:p>
      <w:r>
        <w:t>Interjeté dans les formes et délais légaux (art. 385 al. 1 et 396 al. 1 CPP [Code de procédure pénale suisse du 5 octobre 2007 ; RS 312.0]) par une partie ayant la qualité pour recourir (art. 382 al. 1 CPP) contre un prononcé ou un acte de procédure visé par l’art. 393 al. 1 CPP, le recours est recevable.</w:t>
      </w:r>
    </w:p>
    <w:p>
      <w:r>
        <w:rPr>
          <w:b/>
        </w:rPr>
        <w:t>E. 2.1</w:t>
      </w:r>
    </w:p>
    <w:p>
      <w:r>
        <w:t>Le recourant soutient qu’il a admis l’entier des infractions qu’il a commises, sans chercher à minimiser sa participation. Il rappelle que certains coprévenus ont déjà eu l’occasion de parler ensemble lorsqu’ils ont été transportés dans le même bus en vue de leur audition respective. Le recourant indique n’avoir jamais tenté de joindre ses coprévenus ou toutes autres personnes pouvant être impliquées dans cette procédure à ce jour.</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 ATF 133 I 270 consid. 3.2.1 ;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et les références citées). Plus l'instruction se trouve à un stade avancé et les faits établis avec précision, plus les exigences relatives à la preuve de l'existence d'un risque de collusion sont élevées (ATF 137 IV 122 consid. 4.2 ; ATF 132 I 21 consid. 3.2.2 ; TF 1B_127/2017 du 20 avril 2017 ; TF 1B_449/2015 du 15 janvier 2016 consid. 2.3 ; TF 1B_742/2012 du 17 janvier 2013 consid. 2.2). 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 ATF 133 I 270 consid. 3.2.1).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œuvre (TF 1B_127/2017 du 20 avril 2017 consid. 2.1 ; TF 1B_449/2015 du 15 janvier 2016 consid. 2.3).</w:t>
      </w:r>
    </w:p>
    <w:p>
      <w:r>
        <w:rPr>
          <w:b/>
        </w:rPr>
        <w:t>E. 2.3</w:t>
      </w:r>
    </w:p>
    <w:p>
      <w:r>
        <w:t>Dans le cas présent, contrairement à ce que soutient le recourant, celui-ci n’admet pas tous les faits qui lui sont reprochés. En effet, lors de l’audition récapitulative du 1 er juillet 2019, il a nié avoir vendu de la cocaïne à certains de ses clients présumés, déclarant qu’il laissait son téléphone à la maison et que ses co-prévenus, soit J.________ et P.________, pouvaient répondre si quelqu’un l’appelait (cf. PV aud. 21). Il a également nié connaître certaines personnes l’ayant mis en cause pour leur avoir vendu des boulettes de cocaïne. Il a encore contesté que la résine de cannabis retrouvée près de son lit lui appartenait, ou encore qu’il était allé dans les toilettes, juste avant son interpellation, ce qui contredit la version donnée par son coprévenu P.________ au sujet de la drogue retrouvée dans les toilettes lors de l’intervention du DARD (Détachement d'action rapide et de dissuasion). P.________ a encore affirmé que les sachets de boulettes de cocaïne appartenaient à T.________ et au recourant. Ainsi, ce dernier conteste en tout cas un point pour lequel il a été mis en cause par P.________ (cf. PV aud. 20, R 12). Il importe dès lors que les prévenus ne puissent pas s’accorder sur une version avant les débats. Peu importe qu’à une occasion – malheureusement –, T.________ ait pu s’entretenir hors contrôle avec un autre coprévenu, à savoir J.________ (cf. PV aud. 23, R7), lorsqu’ils ont été transportés dans le même bus en vue de leur audition du 1 er juillet 2019. Au vu de ce qui précède, la mise en œuvre du régime d’exécution anticipée de peine compromettrait la manifestation de la vérité, de sorte qu’elle doit être refusée.</w:t>
      </w:r>
    </w:p>
    <w:p>
      <w:r>
        <w:rPr>
          <w:b/>
        </w:rPr>
        <w:t>E. 3</w:t>
      </w:r>
    </w:p>
    <w:p>
      <w:r>
        <w:t>Il s’ensuit que le recours, manifestement mal fondé, doit être rejeté sans échange d’écritures (art. 390 al. 2 CPP) et l’ordonnance du 12 novembre 2019 confirmée. Les frais de la procédure de recours, constitués en l’espèce de l’émolument d’arrêt (art. 422 al. 1 CPP), par 770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par 7 fr. 20, plus la TVA, par 27 fr. 30, soit à 395 fr. 50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12 novembre 2019 est confirmée. III. L'indemnité allouée au défenseur d'office de Q.________, Me Janique Torchio-Popescu, est fixée à 395 fr. 50 (trois cent nonante-cinq francs et cinquante centimes). IV. Les frais d'arrêt, par 770 fr. (sept cent septante francs), ainsi que l'indemnité due au défenseur d'office de Q.________, par 395 fr. 50 (trois cent nonante-cinq francs et cinquante centimes), sont mis à la charge de ce dernier. V. L’arrêt est exécutoire. Le président :               La greffière : Du Le présent arrêt, dont la rédaction a été approuvée à huis clos, est notifié, par l'envoi d'une copie complète, à : - Me Janique Torchio-Popescu, avocate (pour Q.________),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