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970 vom 27. November 2018</w:t>
      </w:r>
    </w:p>
    <w:p>
      <w:r>
        <w:t>VD Tribunal cantonal, 2018-11-27, FR</w:t>
      </w:r>
    </w:p>
    <w:p>
      <w:r>
        <w:rPr>
          <w:b/>
        </w:rPr>
        <w:t xml:space="preserve">Quelle: </w:t>
      </w:r>
      <w:r>
        <w:t>https://mcp.opencaselaw.ch/entscheid/vd_findinfo_D_cision___2018___970</w:t>
      </w:r>
    </w:p>
    <w:p>
      <w:r>
        <w:t>FR: VD_FINDINFO Décision / 2018 / 970 du 27 novembre 2018</w:t>
      </w:r>
    </w:p>
    <w:p>
      <w:r>
        <w:t>IT: VD_FINDINFO Décision / 2018 / 970 del 27 novembre 2018</w:t>
      </w:r>
    </w:p>
    <w:p>
      <w:pPr>
        <w:pStyle w:val="Heading2"/>
      </w:pPr>
      <w:r>
        <w:t>Regeste</w:t>
      </w:r>
    </w:p>
    <w:p>
      <w:r>
        <w:t>DÉTENTION PROVISOIRE, SOUPÇON, RISQUE DE COLLUSION, PROPORTIONNALITÉ | 212 al. 3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soutient qu'il n'existerait aucun élément permettant de retenir l'existence de soupçons suffisants de culpabilité à son encontre. Il fait valoir qu'aucun de ses patients n'aurait déposé plainte en dix ans de pratique, qu'il aurait toujours été clair et honnête dans ses explications, qu'il ne procéderait à aucune pratique sans l'accord de ses patients, que ceux-ci accepteraient de se faire traiter en donnant leur consentement éclairé, qu'il ne serait pas établi que B.________ dirait la vérité, que C.________ aurait accepté qu'il lui touche ses parties intimes et que D.________ n'aurait rien à lui reprocher.</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En l'espèce, les déclarations de B.________ et de C.________ coïncident sur les caractéristiques du modus operandi du prévenu. Il les aurait tout d'abord mises en confiance durant les deux premières séances en leur disant notamment qu'il était leur ange gardien asexué et qu'il n'avait aucune intention de leur faire du mal. Au cours de la troisième séance, il aurait descendu le pantalon de la première et aurait demandé à la seconde de le faire, aurait mis sa main dans leur culotte, leur aurait touché le sexe, leur aurait dit qu'il les aimait et aurait approché sa bouche de la leur en leur disant « Je t'aime ». De plus, il aurait pénétré vaginalement B.________ avec les doigts et l'aurait touchée au niveau du clitoris jusqu'à la faire parvenir à l'orgasme. Il se serait dédouané en disant à B.________ qu'il n'était pas un pervers et à D.________ qu'il n'était pas un tordu. Il aurait fait interdiction à B.________ et à D.________ de parler des séances à leur entourage et aurait même fait signer un contrat en ce sens à la seconde nommée, qui n'aurait par ailleurs pas reçu de copie de cet « accord ». Si X.________ n'a pas commis d'actes répréhensibles à l'encontre de D.________, c'est parce que celle-ci l'aurait immédiatement « remis en place » lorsqu'il aurait approché son visage du sien (PV aud. 3, p. 3). Il aurait toutefois dit à cette dernière que, pour certaines femmes, il devait passer la main sous la culotte ou mettre les doigts dans le vagin. Les déclarations de ces trois clientes sont concordantes, circonstanciées et crédibles. On constate par ailleurs que le type de cibles présumées du prévenu est similaire. Il s'en prendrait à des femmes en demande de solutions à des problèmes personnels intimes, B.________ ne parvenant pas à avoir un deuxième enfant, C.________ devant faire face à la maladie de ses parents et rencontrant des problèmes de couple et D.________ souffrant de la dépression de son frère. De plus, au cours de son interrogatoire par la police le 8 novembre 2018, l'épouse du prévenu a admis qu'une des clientes de celui-ci s'était sentie gênée par le fait qu'il lui avait touché les seins (p. 5, point 7). Au vu des éléments qui précèdent, force est de constater qu'il existe de forts soupçons de culpabilité à l'encontre du recourant, malgré ses dénégations. L'appréciation du premier juge sur ce point ne prête nullement le flanc à la critique et doit être entièrement confirmée.</w:t>
      </w:r>
    </w:p>
    <w:p>
      <w:r>
        <w:rPr>
          <w:b/>
        </w:rPr>
        <w:t>E. 4.1</w:t>
      </w:r>
    </w:p>
    <w:p>
      <w:r>
        <w:t>Le recourant soutient que rien n'établit un risque de collusion : il aurait d'excellents antécédents, se montrerait de bonne foi et coopératif et s'engagerait à ne pas entrer en contact avec ses clients pendant toute la durée de la procédure.</w:t>
      </w:r>
    </w:p>
    <w:p>
      <w:r>
        <w:rPr>
          <w:b/>
        </w:rPr>
        <w:t>E. 4.2</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14-15 ad art. 221 CPP ;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4.3</w:t>
      </w:r>
    </w:p>
    <w:p>
      <w:r>
        <w:t>En l'espèce, dans sa demande de détention provisoire du 8 novembre 2018 au Tribunal des mesures de contrainte, le Procureur a expliqué que l'enquêtrice devrait tout d'abord identifier les clientes du prévenu par l'analyse de son téléphone portable, de son matériel informatique et des divers documents saisis au cours de la perquisition domiciliaire, dans la mesure où l'intéressé n'avait apparemment pas de fichier de ses clients. Il faudra ensuite auditionner toutes les femmes et/ou personnes susceptibles de donner des renseignements. Cela prendra du temps, d'autant que le recourant ajoute lui-même que son réseau de clientèle est important (mémoire de recours, p. 3, ab initio ) et que l'instruction n'en est qu'à ses prémices. En outre, comme évoqué ci-dessus, les propos recueillis à ce stade de la procédure tendent à retenir une certaine emprise psychologique du recourant sur ses patientes. Il aurait de plus tenté de faire croire à C.________ que sa cousine, qui avait eu un cancer, mourrait dans l'année si elle ne faisait rien, que cette dernière était victime de magie noire et qu'il pourrait l'aider moyennant le paiement de 5'000 fr. (PV aud. 2, p. 5). Il aurait aussi tenté de faire croire à D.________ qu'il voyait que son frère allait se suicider et qu'il pourrait l'aider contre la somme de 3'500 fr. (PV aud. 3, R. 5, p. 2). Vu ce profil de personnalité, il est fortement à craindre que le prévenu mette à profit sa liberté pour supprimer des éléments de preuve et/ou prenne contact avec ses clientes, présentes ou passées, et leur profère le même genre de prédictions malveillantes, voire même pire, afin de les dissuader de dire la vérité. Il n'existe aucune mesure de substitution propre à empêcher cette possibilité d'interférer dans les mesures d'instruction en cours. Le risque de collusion est ainsi clairement réalisé et doit être confirmé.</w:t>
      </w:r>
    </w:p>
    <w:p>
      <w:r>
        <w:rPr>
          <w:b/>
        </w:rPr>
        <w:t>E. 5</w:t>
      </w:r>
    </w:p>
    <w:p>
      <w:r>
        <w:t>Dès lors que la réalisation d'un seul risque de l'art. 221 CPP suffit pour justifier le maintien du recourant en détention provisoire (TF 1B_242/2016 du 21 juillet 2016 consid. 5), c'est à juste titre que le premier juge n'a pas examiné les risques de fuite et de réitération.</w:t>
      </w:r>
    </w:p>
    <w:p>
      <w:r>
        <w:rPr>
          <w:b/>
        </w:rPr>
        <w:t>E. 6.1</w:t>
      </w:r>
    </w:p>
    <w:p>
      <w:r>
        <w:t>Se réclamant du principe de la proportionnalité, le recourant considère qu'il ne serait pas nécessaire de le maintenir en détention provisoire et qu'il suffirait de lui interdire tout contact avec ses clients, présents ou passés.</w:t>
      </w:r>
    </w:p>
    <w:p>
      <w:r>
        <w:rPr>
          <w:b/>
        </w:rPr>
        <w:t>E. 6.2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1B_238/2017 du 5 juillet 2017 consid. 2.2).</w:t>
      </w:r>
    </w:p>
    <w:p>
      <w:r>
        <w:rPr>
          <w:b/>
        </w:rPr>
        <w:t>E. 6.3</w:t>
      </w:r>
    </w:p>
    <w:p>
      <w:r>
        <w:t>Pour les motifs exposés ci-dessus (consid. 4), il est manifeste que la procédure d'investigation prendra du temps et qu'un simple engagement de la part du recourant de ne pas contacter ses clientes ne suffit pas. Au vu de de la gravité des faits qui lui sont reprochés et de l'ampleur potentielle de l'activité criminelle restant à déterminer, le recourant s'expose à une peine privative de liberté d'une durée supérieure à celle de la détention provisoire de trois mois qui a été prononcée, de sorte que le principe de la proportionnalité est respecté. Le fait que la peine puisse être assortie du sursis ne joue pas de rôle à cet égard (TF 1B_330/2013 du 16 octobre 2013 ; TF 1B_641/2011 du 25 novembre 2011).</w:t>
      </w:r>
    </w:p>
    <w:p>
      <w:r>
        <w:rPr>
          <w:b/>
        </w:rPr>
        <w:t>E. 7</w:t>
      </w:r>
    </w:p>
    <w:p>
      <w:r>
        <w:t>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9 novembre 2018 est confirmée. III. Les frais d'arrêt, par 990 fr. (neuf cent nonante francs), sont mis à la charge de X.________. IV. L’arrêt est exécutoire. Le président :              La greffière : Du Le présent arrêt, dont la rédaction a été approuvée à huis clos, est notifié, par l'envoi d'une copie complète, à : - Me Véronique Fontana, avocate (pour X.________), - Ministère public central, et communiqué à : - Mme la Présidente du Tribunal des mesures de contrainte, - M. le Procureur de l'arrondissement de Lausanne, - Me Manuela Ryter Godel, avocate (pour B.________), - Me Germain Quach, avocat (pour C.________),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