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943 vom 24. August 2018</w:t>
      </w:r>
    </w:p>
    <w:p>
      <w:r>
        <w:t>VD Tribunal cantonal, 2018-08-24, FR</w:t>
      </w:r>
    </w:p>
    <w:p>
      <w:r>
        <w:rPr>
          <w:b/>
        </w:rPr>
        <w:t xml:space="preserve">Quelle: </w:t>
      </w:r>
      <w:r>
        <w:t>https://mcp.opencaselaw.ch/entscheid/vd_findinfo_D_cision___2018___943</w:t>
      </w:r>
    </w:p>
    <w:p>
      <w:r>
        <w:t>FR: VD_FINDINFO Décision / 2018 / 943 du 24 août 2018</w:t>
      </w:r>
    </w:p>
    <w:p>
      <w:r>
        <w:t>IT: VD_FINDINFO Décision / 2018 / 943 del 24 agosto 2018</w:t>
      </w:r>
    </w:p>
    <w:p>
      <w:pPr>
        <w:pStyle w:val="Heading2"/>
      </w:pPr>
      <w:r>
        <w:t>Regeste</w:t>
      </w:r>
    </w:p>
    <w:p>
      <w:r>
        <w:t>CLASSEMENT DE LA PROCÉDURE, NE BIS IN IDEM, POSTE RESTANTE | 11 CPP (CH), 310 CPP (CH), 322 al. 2 CPP (CH), 393 al. 1 let. a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vaudoise d’introduction du Code de procédure pénale suisse du 19 mai 2009; RSV 312.01]; art. 80 LOJV [Loi d’organisation judiciaire du 12 décembre 1979; RSV 173.01]).</w:t>
      </w:r>
    </w:p>
    <w:p>
      <w:r>
        <w:rPr>
          <w:b/>
        </w:rPr>
        <w:t>E. 1.2</w:t>
      </w:r>
    </w:p>
    <w:p>
      <w:r>
        <w:t>Le délai de recours de dix jours – qui ne peut pas être prolongé (art. 89 al. 1 CPP) – commence à courir le jour qui suit la notification de l’ordonnance entreprise (art. 90 al. 1 et 384 let. b CPP ; Calame, in : Kuhn/Jeanneret [éd.], Commentaire romand, Code de procédure pénale suisse, Bâle 2011, n. 3 ad art. 384 CPP). Le recours écrit doit être remis au plus tard le dernier jour du délai à l’autorité pénale, à la Poste suisse, à une représentation consulaire ou diplomatique suisse ou, s’agissant de personnes détenues, à la direction de l’établissement carcéral (art. 91 al. 2 CPP).</w:t>
      </w:r>
    </w:p>
    <w:p>
      <w:r>
        <w:rPr>
          <w:b/>
        </w:rPr>
        <w:t>E. 1.3</w:t>
      </w:r>
    </w:p>
    <w:p>
      <w:r>
        <w:t>En cas d’envoi recommandé, l’acte est réputé notifié le dernier jour du délai de garde de sept jours (cf. art. 85 al.</w:t>
      </w:r>
    </w:p>
    <w:p>
      <w:r>
        <w:rPr>
          <w:b/>
        </w:rPr>
        <w:t>E. 1.4</w:t>
      </w:r>
    </w:p>
    <w:p>
      <w:r>
        <w:t>En l’espèce, la recourante a fait garder son courrier à la poste par ordre donné le 3 juillet 2018, valable dès le 4 juillet 2018, et ce jusqu’au 14 juillet 2018. Elle a retiré le pli le 16 juillet 2018 (cf. P. 7/2). L’ordonnance du 2 juillet 2018, adressée le même jour par pli simple en poste restante, a été déposée en poste restante à l’Office de poste de [...], au plus tard le 6 juillet 2018. Le délai de recours de dix jours a dès lors commencé à courir dès le jour suivant et il est arrivé à échéance le 16 juillet 2018. Force est ainsi de constater que l’acte de recours, remis à la Poste le 26 juillet 2018, a été déposé tardivement et doit donc être déclaré irrecevable. Cela étant, même à supposer recevable, le recours devrait de toute manière être rejeté pour les motifs exposés ci-après. 2. 2.1 2.1.1 Aux termes de l'art. 310 al. 1 CPP, une ordonnance de non-entrée en matière est rendue immédiatement – c’est-à-dire sans qu’une instruction soit ouverte (art. 309 al. 1 et 4 CPP; TF 1B_111/2012 du 5 avril 2012 consid. 2.1; Cornu, in : Kuhn/Jeanneret [éd.], op. cit.,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 2.1.2 Le principe « ne bis in idem » découle implicitement de la Constitution fédérale. Il est par ailleurs garanti par l'art.</w:t>
      </w:r>
    </w:p>
    <w:p>
      <w:r>
        <w:rPr>
          <w:b/>
        </w:rPr>
        <w:t>E. 4</w:t>
      </w:r>
    </w:p>
    <w:p>
      <w:r>
        <w:t>al. 1 du Protocole n° 7 à la Convention de sauvegarde des droits de l'homme et des libertés fondamentales (RS 0.101.07) et, depuis le 1 er janvier 2011, par l'art. 11 al. 1 CPP. Ce principe, qui est un corollaire de l'autorité de chose jugée, interdit qu'une personne soit pénalement poursuivie deux fois pour les mêmes faits. L'interdiction de la double poursuite suppose la présence de deux procédures: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(TF 6B_1186/2014 du décembre 2015 consid. 4.2 ; Hottelier, in : Kuhn/Jeanneret [éd.], op. cit., n.</w:t>
      </w:r>
    </w:p>
    <w:p>
      <w:r>
        <w:rPr>
          <w:b/>
        </w:rPr>
        <w:t>E. 6</w:t>
      </w:r>
    </w:p>
    <w:p>
      <w:r>
        <w:t>ad art. 11 CPP; cf. également Piquerez/Macaluso, Procédure pénale suisse, 3 e éd. 2011, nn. 580 ss; Tag, in : Basler Kommentar, Schweizerische Strafprozessordnung, 2011, nn.11 ss ad art. 11 CPP). 2.2 En l’espèce, la recourante a déposé, le 20 juin 2018, une nouvelle plainte pénale en raison des mêmes faits et des mêmes chefs de prévention que ceux invoqués dans sa plainte du 9 février 2017. Or cette seconde plainte heurte le principe « ne bis in idem » , en vertu duquel on ne saurait poursuivre et juger quelqu’un deux fois pour les mêmes faits. Il est vrai que l’on ne sait pas si T.________, que la recourante vise plus précisément dans sa deuxième plainte, a été mise au bénéfice de l’ordonnance de non-entrée en matière avec effet définitif. Quoi qu’il en soit, s’il peut y avoir reprise d’une procédure close par une telle ordonnance en application des art. 11 al. 2 et 323 CPP, il s’agit d’une reprise en vertu de faits nouveaux et non d’une nouvelle plainte déposée auprès d’un autre for. Quant à l’argument de la recourante, selon lequel il y aurait un tel fait nouveau, puisque, à ses dires, elle aurait découvert le nom de T.________ en lisant l’ordonnance du 28 mars 2018, il est sans pertinence. En effet, ce qui est déterminant, ce sont les faits connus par le Ministère public lors de sa décision et pris en compte dans celle-ci. Or, manifestement, le nom de l’auteur du mémo litigieux était connu du Ministère public valaisan. C’est en toute connaissance de cause que ce dernier a estimé que T.________ pouvait bénéficier d’une ordonnance de non-entrée en matière. Au vu de ce qui précède, les conditions d’ouverture d’une instruction pénale ne sont manifestement pas réunies. C’est donc à bon droit que le Ministère public de l’arrondissement de l’Est vaudois a refusé d’entrer en matière. 3. Il résulte de ce qui précède que le recours doit être rejeté dans la mesure où il est recevable et que l’ordonnance attaquée doit être confirmée. Les frais de la procédure de recours, constitués en l’espèce du seul émolument d'arrêt, par 660 fr. (art. 20 al. 1 TFJP [tarif des frais judiciaires pénaux; RSV 312.03.1]), seront mis à la charge de la recourante, qui succombe (art. 428 al. 1 CPP). Le montant de 550 fr. déjà versé par la recourante à titre de sûretés sera imputé sur les frais mis à sa charge (art. 383 al. 1 CPP ; art. 7 TFIP). Par ces motifs, la Chambre des recours pénale prononce : I. Le recours est rejeté dans la mesure où il est recevable. II. L’ordonnance du 2 juillet 2018 est confirmée. III. Les frais d’arrêt, par 660 fr. (six cent soixante francs), sont mis à la charge de S.________. IV. Le montant de 550 fr. (cinq cent cinquante francs) déjà versé par la recourante à titre de sûretés est imputé sur les frais mis à sa charge au chiffre III ci-dessus. V. L’arrêt est exécutoire. Le président :               La greffière : Du Le présent arrêt, dont la rédaction a été approuvée à huis clos, est notifié, par l'envoi d'une copie complète, à : - Mme S.________,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