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939 vom 14. November 2018</w:t>
      </w:r>
    </w:p>
    <w:p>
      <w:r>
        <w:t>VD Tribunal cantonal, 2018-11-14, FR</w:t>
      </w:r>
    </w:p>
    <w:p>
      <w:r>
        <w:rPr>
          <w:b/>
        </w:rPr>
        <w:t xml:space="preserve">Quelle: </w:t>
      </w:r>
      <w:r>
        <w:t>https://mcp.opencaselaw.ch/entscheid/vd_findinfo_D_cision___2018___939</w:t>
      </w:r>
    </w:p>
    <w:p>
      <w:r>
        <w:t>FR: VD_FINDINFO Décision / 2018 / 939 du 14 novembre 2018</w:t>
      </w:r>
    </w:p>
    <w:p>
      <w:r>
        <w:t>IT: VD_FINDINFO Décision / 2018 / 939 del 14 novembre 2018</w:t>
      </w:r>
    </w:p>
    <w:p>
      <w:pPr>
        <w:pStyle w:val="Heading2"/>
      </w:pPr>
      <w:r>
        <w:t>Regeste</w:t>
      </w:r>
    </w:p>
    <w:p>
      <w:r>
        <w:t>DÉCISION D'IRRECEVABILITÉ, ADMISSION DE LA DEMANDE, LÉSION CORPORELLE PAR NÉGLIGENCE | 11 CP, 12 al. 3 CP, 125 CP, 310 CPP (CH)</w:t>
      </w:r>
    </w:p>
    <w:p>
      <w:pPr>
        <w:pStyle w:val="Heading2"/>
      </w:pPr>
      <w:r>
        <w:t>Erwägungen</w:t>
      </w:r>
    </w:p>
    <w:p>
      <w:r>
        <w:rPr>
          <w:b/>
        </w:rPr>
        <w:t>E. 1</w:t>
      </w:r>
    </w:p>
    <w:p>
      <w:r>
        <w:t>Les parties peuvent attaquer une ordonnance de non-entrée en matière rendue par le Ministère public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et dans les formes prescrites (art. 385 CPP) par la plaignante qui a qualité pour recourir (art. 382 al. 1 CPP), le recours est recevable.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Commentaire romand, Code de procédure pénale suisse, Bâle 2011, nn. 1 et 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A teneur de l’art. 310 al. 1 let. c CPP, il en va de même s'il ressort de la dénonciation ou du rapport de police que les conditions mentionnées à l'art. 8 CPP imposent de renoncer à l'ouverture d'une poursuite pénale.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JdT 2012 IV 160). Selon la jurisprudence, l'art. 310 CPP doit être appliqué conformément à l'adage in dubio pro duriore (TF 6B_427/2017 du 15 novembre 2017 consid. 2.1 et la référence citée). Celui-ci découle du principe de la légalité (art. 5 al. 1 Cst. [Constitution fédérale de la Confédération suisse du 18 avril 1999 ; RS 101]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p. 243; ATF 138 IV 86 consid. 4.1.2 p. 91; ATF 138 IV 186 consid. 4.1 p. 190).</w:t>
      </w:r>
    </w:p>
    <w:p>
      <w:r>
        <w:rPr>
          <w:b/>
        </w:rPr>
        <w:t>E. 2.1</w:t>
      </w:r>
    </w:p>
    <w:p>
      <w:r>
        <w:t>p. 64; 134 IV 255 consid. 4.2.3 p. 262). En second lieu, la violation du devoir de prudence doit être fautive, c'est-à-dire qu'il faut pouvoir reprocher à l'auteur une inattention ou un manque d'effort blâmable (ATF 135 IV 56 consid. 2.1 p. 64; 134 IV 255 consid. 4.2.3 p. 262 et réf. cit.). Une action est l'une des causes naturelles d'un résultat dommageable si, dans l'enchaînement des événements tels qu'il se sont produits, cette action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(ATF 133 IV 158 consid. 6.1 p. 167 et réf. cit.). Pour que le délit de négligence soit réalisé, c'est en tant que violation d'un devoir de prudence, et non en tant que comportement global de l'auteur, que l'action doit être en rapport de causalité avec le résultat dommageable. Il ne suffit dès lors pas que l'action commise par l'auteur se trouve en tant que telle en rapport de causalité naturelle avec le dommage. Il faut en principe qu'il soit encore établi avec une haute vraisemblance que si l'auteur avait agi d'une manière conforme à son devoir de prudence, toutes choses égales par ailleurs, le résultat ne se serait pas produit, et cela non pas pour des raisons fortuites, mais pour des raisons en rapport avec le but protecteur de la règle de prudence violée (ATF 133 IV 158 consid. 6.1 pp. 167 ss et réf. cit.; TF 6B_1132/2017 du 3 octobre 2018 consid. 1.6 et 1.7). Par ailleurs, une action est la cause adéquate du résultat dommageable si le comportement était propre, d'après le cours ordinaire des choses et l'expérience générale de la vie, à entraîner un résultat du genre de celui qui s'est produit; il s'agit là d'une question de droit que la cour de céans revoit librement. La causalité adéquate peut être exclue, l'enchaînement des faits perdant sa portée juridique, si une autre cause concomitante – par exemple une force naturelle, le comportement de la victime ou d'un tiers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133 IV 158 consid. 6.1 pp. 167 ss et réf. cit.).</w:t>
      </w:r>
    </w:p>
    <w:p>
      <w:r>
        <w:rPr>
          <w:b/>
        </w:rPr>
        <w:t>E. 3.1</w:t>
      </w:r>
    </w:p>
    <w:p>
      <w:r>
        <w:t>La recourante reproche au Ministère public d’avoir rendu une ordon­nance de non-entrée en matière, qu’elle considère comme prématurée. Elle fait valoir que la seule base pour établir les faits retenus serait le JEP, et non un rapport de police dressé en bonne et due forme, que l’affirmation selon laquelle le socle du mât était rempli d’eau avant sa chute ne reposerait sur rien, que le jour des faits, il n’y aurait pas eu de palettes en bois pour tenir le socle supportant le mât litigieux, que la [...] aurait admis de prendre en charge les dommages causés à son véhicule et qu’une enquête devrait pouvoir définir comment ce mât est tombé.</w:t>
      </w:r>
    </w:p>
    <w:p>
      <w:r>
        <w:rPr>
          <w:b/>
        </w:rPr>
        <w:t>E. 3.2</w:t>
      </w:r>
    </w:p>
    <w:p>
      <w:r>
        <w:t>L’art. 125 CP (Code pénal suisse du 21 décembre 1937 ; RS 311.0) réprime le comportement de celui qui, par négligence, aura fait subir à une personne une atteinte à l’intégrité corporelle ou à la santé.</w:t>
      </w:r>
    </w:p>
    <w:p>
      <w:r>
        <w:rPr>
          <w:b/>
        </w:rPr>
        <w:t>E. 3.2.1</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 cit.).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p. 140; 135 IV 56 consid.</w:t>
      </w:r>
    </w:p>
    <w:p>
      <w:r>
        <w:rPr>
          <w:b/>
        </w:rPr>
        <w:t>E. 3.2.2</w:t>
      </w:r>
    </w:p>
    <w:p>
      <w:r>
        <w:t>Aux termes de l’art. 11 al. 1 CP, un crime ou un délit peut aussi être commis par le fait d’un comportement passif contraire à une obligation d’agir. Il faut que l’auteur omette, par sa faute, l’accomplissement d’un acte qu’il était tenu juridiquement d’accomplir et qui, selon le cours ordinaire des choses et l’expérience de la vie, aurait évité la survenance du dommage. Il faut également que l’auteur ait occupé une position de garant, c’est-à-dire qu’il se soit trouvé dans une situation juridique particulière qui l’obligeait à ce point à protéger un bien déterminé contre des dangers indéterminés (devoir de protection) ou à empêcher la réalisation de risques connus auxquels des biens indéterminés étaient exposés (devoir de surveillance), pour que son omission apparaisse comparable au fait de provoquer le résultat par un comportement actif (ATF 134 IV 255 consid. 4.2.1 ; ATF 117 IV 130 consid. 2a ; TF 6B_1063/2013 précité consid. 3.3). En matière d’omission, la question de la causalité est particulière : l’omission est en lien de causalité naturelle avec le résultat de l’infraction présumée si son accomplissement eût empêché la survenance de ce résultat avec une vraisemblance confinant à la certitude ou, du moins, avec une haute vraisemblance (ATF 135 IV 56 consid. 2.1 ; ATF 134 IV 255 consid. 4.4.1 ; ATF 117 IV 130 consid. 2a ; TF 6B_132/2016 du 16 août 2016 consid. 3.2.1 ; TF 6B_179/2015 du 26 août 2015 consid. 2.2). L’omission est en lien de causalité adéquate si l’accomplissement de l’acte omis aurait, selon le cours ordinaire des choses et l’expérience de la vie, évité la survenance de ce résultat (ibid.).</w:t>
      </w:r>
    </w:p>
    <w:p>
      <w:r>
        <w:rPr>
          <w:b/>
        </w:rPr>
        <w:t>E. 3.3</w:t>
      </w:r>
    </w:p>
    <w:p>
      <w:r>
        <w:t>En l’espèce, le seul élément au dossier permettant de connaître les circonstances dans lesquelles le mât litigieux est tombé consiste en un extrait du JEP de [...] (P. 8) indiquant, sous « Type d’événement », « DOMMAGES A LA PROPRIETE » et préci­sant que deux policiers sont intervenus. Il ressort également de ce journal qu’un mât métallique à l’enseigne du magasin [...] est tombé sur l’avant droit du véhicule de la recourante, endom­mageant celui-ci, que le remplaçant du gérant et la conductrice ont échangé leurs coordonnées pour toutes suites utiles auprès de leurs assurances et que le mât était tenu par un socle rempli d’eau. Sur la photographie du mât en question renversé et près de son véhicule produite par la recourante (P. 5/1), on constate que celui-ci est fixé sur un tel socle. En outre, selon une pièce produite par la recourante avec son recours (P. 11/2/4), la [...], compagnie d’assurance responsabilité civile du magasin [...], a déclaré qu’elle couvrait le cas d’assurance et qu’elle pourrait prendre en charge les dommages causés au véhicule. Dans ces conditions, et s’agissant des dommages à la propriété – lesquels ne sont pas en cause dans le cadre de la procédure, la plainte ne portant que sur les lésions corporelles –, la responsabilité du magasin a été reconnue. Dans sa main courante, la police ne s’est pas prononcée sur les circonstances ayant entouré les lésions corporelles invoquées par la recourante dans sa plainte. Ceci s’explique par le fait que la police n’est intervenue que pour des dommages à la propriété et que la recourante n’a prétendu avoir ressenti des douleurs que le lendemain des faits. En outre, à réception de la plainte, le Ministère public n’a pas donné mandat à la police d’investiguer ces circonstances. Au dossier ne figurent que les certificats médicaux produits par la recourante, qui attestent de l’existence de lésions à l’épaule gauche et des périodes d’incapacité de travail apparemment induites par celles-ci qui se sont succédé entre le 13 mars et le 15 juin 2018 (P. 7/2). Dans sa plainte du 2 mai 2018, la recourante n’a donné aucune précision sur les circonstances dans lesquelles elle aurait été blessée, notamment sur ce qui se serait passé dans l’habitacle et qui aurait pu causer les lésions à l’épaule invoquées, mais elle a simplement prétendu avoir été la victime d’un accident de la circulation en raison d’un mât tombé sur sa voiture. Invitée à préciser ces circonstances par courrier du Ministère public du mai 2018, elle a adressé un résumé des faits à la Procureure qui retient ce qui suit sur ce point précis (P. 7/1) : « L’accident s’est produit en quelque secondes et sous le choc, j’ai tapé contre ma portière et en plantant sur les freins ma ceinture m’a bloqué mon épaule avec une forte pression à cause du freinage brusque et puissant ». En l’occurrence, aucune investigation n’a été menée sur ces préten­dues circonstances. Il convient dès lors d’examiner à ce stade si, à supposer que les événements se soient produits exactement comme la recourante le prétend – ce qui ne peut pas être écarté d’emblée comme farfelu ou imaginaire – , une infraction peut d’emblée être exclue. Comme rappelé plus haut, un mât en métal serait tombé sur le véhicule conduit par la recourante alors que celle-ci circulait dans un parking. Au vu des photographies du socle en plastique supportant ce mât (P. 5/1), qui semble de petite taille au regard de la hauteur du mât, il ne peut être d’emblée exclu que, même rempli d’eau, ce lest ait été trop léger et, que, sur ce point, il y ait eu une viola­tion fautive d’un devoir de prudence par le responsable ou un employé du magasin [...] ; le remplaçant du gérant aurait d’ailleurs dit à la recourante, juste après les faits, que le socle du mât était normalement maintenu par des palettes en bois. Dans ces conditions, la violation d’un devoir de prudence ne peut pas être exclue. Quant au lien de causalité, à supposer que le mât ait été correctement maintenu au sol, il peut être tenu pour vraisemblable qu’il n’aurait pas chuté sur le véhicule conduit par la recourante et que celle-ci n’aurait pas eu à freiner brusquement. A ce stade, et toujours dans l’hypothèse où la version de la recourante devait s’avérer exacte, on pourrait retenir que l’accomplisse­ment de l’acte omis aurait empêché la survenance du résultat prétendu avec une vraisemblance confinant à la certitude ou, du moins, avec une haute vraisemblance, de sorte que l’existence d’un lien de causalité naturelle ne peut donc pas non plus être exclue. La question est plus délicate s’agis­sant du lien de causalité adéquate ; rappelons qu’une omission est en lien de causalité adéquate si l’accomplissement de l’acte omis aurait, selon le cours ordi­naire des choses et l’expérience de la vie, évité la survenance de ce résultat. En l’espèce, faute de tout renseignement avéré sur les circonstances de l’accident, sur l’état de santé préexistant de la plaignante et sur la possibilité, d’un point de vue médical, qu’un freinage et le blocage de la ceinture de sécurité puissent occasionner les lésions en cause, un tel lien de causalité adéquate ne peut pas non plus être exclu d’entrée de cause. En effet, il peut entrer dans le cours ordinaire des choses que, surpris par un objet qui aurait chuté sur son véhicule, le conducteur de celui-ci actionne brusquement les freins et, ce faisant, se blesse à l’épaule. Tout bien considéré, il n’apparaît pas exclu, à ce stade, que les élé­ments objectifs et subjectifs de l’infraction de lésions corporelles par négligence soient réalisés. Il appartient ainsi au Ministère public de déterminer si les conditions de la poursuite pénale sont réalisées, après avoir établi les faits utiles à cet égard. C’est donc à tort que le Ministère public a rendu une ordonnance de non-entrée en matière et une instruction pénale doit être ouverte pour lésions corporelles par négligence.</w:t>
      </w:r>
    </w:p>
    <w:p>
      <w:r>
        <w:rPr>
          <w:b/>
        </w:rPr>
        <w:t>E. 4</w:t>
      </w:r>
    </w:p>
    <w:p>
      <w:r>
        <w:t>Il résulte de ce qui précède que le recours interjeté par R.________ doit être admis, l’ordonnance du 6 juin 2018 annulée et le dossier de la cause renvoyé au Ministère public de l’arrondissement de Lausanne pour qu’il procède dans le sens des considérants. Les frais de la procédure de recours, constitués en l'espèce du seul émolument d'arrêt, par  1'210 fr. (art. 422 al. 1 CPP et 20 al. 1 TFIP [Tarif des frais de procédure et indemnités en matière pénale du 28 septembre 2010 ; RSV 312.03.1]), seront laissés à la charge de l’Etat (art. 428 al. 4 CPP). Quand bien même la recourante, assistée d’un conseil de choix, a pris ses conclusions avec suite de frais et dépens, il ne peut lui être alloué d’indemnité au sens de l’art. 433 CPP, faute de prévenu succombant à ce stade de la procédure Par ces motifs, la Chambre des recours pénale prononce : I. Le recours est admis. II. L’ordonnance du 6 juin 2018 est annulée. III. Le dossier de la cause est renvoyé au Ministère public de l’arrondisse­ment de Lausanne pour qu’il procède dans le sens des considérants. IV. Les frais d’arrêt, par 1'210 fr. (mille deux cent dix francs), sont laissés à la charge de l’Etat. V. L’arrêt est exécutoire. Le président :               La greffière : Du Le présent arrêt, dont la rédaction a été approuvée à huis clos, est notifié, par l'envoi d'une copie complète, à : - Me Pierre-Olivier Wellauer, avocat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