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933 vom 15. November 2018</w:t>
      </w:r>
    </w:p>
    <w:p>
      <w:r>
        <w:t>VD Tribunal cantonal, 2018-11-15, FR</w:t>
      </w:r>
    </w:p>
    <w:p>
      <w:r>
        <w:rPr>
          <w:b/>
        </w:rPr>
        <w:t xml:space="preserve">Quelle: </w:t>
      </w:r>
      <w:r>
        <w:t>https://mcp.opencaselaw.ch/entscheid/vd_findinfo_D_cision___2018___933</w:t>
      </w:r>
    </w:p>
    <w:p>
      <w:r>
        <w:t>FR: VD_FINDINFO Décision / 2018 / 933 du 15 novembre 2018</w:t>
      </w:r>
    </w:p>
    <w:p>
      <w:r>
        <w:t>IT: VD_FINDINFO Décision / 2018 / 933 del 15 novembre 2018</w:t>
      </w:r>
    </w:p>
    <w:p>
      <w:pPr>
        <w:pStyle w:val="Heading2"/>
      </w:pPr>
      <w:r>
        <w:t>Regeste</w:t>
      </w:r>
    </w:p>
    <w:p>
      <w:r>
        <w:t>DÉTENTION PROVISOIRE, RISQUE DE RÉCIDIVE, RISQUE DE FUITE, RISQUE DE COLLUSION | 221 al. 1 let. a CPP (CH), 221 al. 1 let. b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19 juin 2017/403 et les références citées).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En l’espèce, le recours a été interjeté en temps utile et dans les formes prescrites (cf. art. 385 al. 1 CPP) par un détenu qui a la qualité pour recourir (art. 382 CPP), de sorte qu’il est recevable.</w:t>
      </w:r>
    </w:p>
    <w:p>
      <w:r>
        <w:rPr>
          <w:b/>
        </w:rPr>
        <w:t>E. 2.1</w:t>
      </w:r>
    </w:p>
    <w:p>
      <w:r>
        <w:t>;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2.9</w:t>
      </w:r>
    </w:p>
    <w:p>
      <w:r>
        <w:t>à 2.10, JdT 2017 IV 262).</w:t>
      </w:r>
    </w:p>
    <w:p>
      <w:r>
        <w:rPr>
          <w:b/>
        </w:rPr>
        <w:t>E. 3.1</w:t>
      </w:r>
    </w:p>
    <w:p>
      <w:r>
        <w:t>Le recourant conteste les faits qui lui sont reprochés et soutient qu'il n'y aurait pas de soupçons sérieux contre lui qui justifieraient son maintien en détention provisoire. Il met en doute la crédibilité de la plaignante et argue du fait que le dossier ne comporte aucun élément direct permettant de l'incriminer.</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A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w:t>
      </w:r>
    </w:p>
    <w:p>
      <w:r>
        <w:rPr>
          <w:b/>
        </w:rPr>
        <w:t>E. 3.3</w:t>
      </w:r>
    </w:p>
    <w:p>
      <w:r>
        <w:t>L’argumentation du recourant ne peut pas être suivie en l’espèce. En effet, il ressort du rapport d'intervention de la police (P. 4) que le recourant a été trouvé en possession du passeport de la plaignante, ce qui donne du crédit aux déclarations de celle-ci. En outre, en dépit des éventuelles lacunes du rapport du CURML, les médecins ont indiqué que "le tableau lésionnel observé sur W.________ est compatible avec le moment des faits et ses déclarations, soit une hétéro-agression avec des traumatismes contendants sur de multiples parties du corps". Par conséquent, et nonobstant les caractéristiques de la personnalité de la plaignante, il existe des soupçons suffisants contre le recourant, dont l'état psychique est à tout le moins aussi préoccupant que celui de la plaignante (cf. expertise pénale du 12 février 2018, P. 23).</w:t>
      </w:r>
    </w:p>
    <w:p>
      <w:r>
        <w:rPr>
          <w:b/>
        </w:rPr>
        <w:t>E. 4.1</w:t>
      </w:r>
    </w:p>
    <w:p>
      <w:r>
        <w:t>Le recourant remet en cause l’existence d’un risque de fuite, arguant du fait qu'il serait au bénéfice d'un droit de séjour dans un pays de l'Union européenne, de sorte qu'il n'aurait aucune raison de partir pour se rendre dans un pays tiers comme le Nigéria.</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4.3</w:t>
      </w:r>
    </w:p>
    <w:p>
      <w:r>
        <w:t>En l’espèce, dans son ordonnance de mise en détention provisoire du 22 décembre 2017, puis ses ordonnances de maintien de la détention provisoire des 12 mars et 12 juin 2018, le premier juge a retenu que le recourant présentait un risque de fuite, relevant qu'il était ressortissant du Nigéria, sans attache avec la Suisse, que les faits qui lui étaient reprochés étaient graves et qu'il avait déclaré à plusieurs reprises vouloir quitter la Suisse pour rejoindre l'Italie ou son pays d'origine. Ces ordonnances n'ont pas fait l'objet d'un recours et sont entrées en force. Les éléments invoqués par le recourant pour contester l'existence d'un risque de fuite ne permettent pas de remettre en cause l'appréciation du premier juge. Par conséquent, le risque de fuite demeure entier et justifie le maintien en détention provisoire du recourant.</w:t>
      </w:r>
    </w:p>
    <w:p>
      <w:r>
        <w:rPr>
          <w:b/>
        </w:rPr>
        <w:t>E. 5</w:t>
      </w:r>
    </w:p>
    <w:p>
      <w:r>
        <w:t>Le recourant reproche au premier juge d'être resté muet sur un soi-disant risque de collusion. On relève toutefois que l'ordonnance attaquée n'est pas fondée sur un tel motif.</w:t>
      </w:r>
    </w:p>
    <w:p>
      <w:r>
        <w:rPr>
          <w:b/>
        </w:rPr>
        <w:t>E. 6.1</w:t>
      </w:r>
    </w:p>
    <w:p>
      <w:r>
        <w:t>Le recourant conteste le risque de réitération.</w:t>
      </w:r>
    </w:p>
    <w:p>
      <w:r>
        <w:rPr>
          <w:b/>
        </w:rPr>
        <w:t>E. 6.2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w:t>
      </w:r>
    </w:p>
    <w:p>
      <w:r>
        <w:rPr>
          <w:b/>
        </w:rPr>
        <w:t>E. 6.3</w:t>
      </w:r>
    </w:p>
    <w:p>
      <w:r>
        <w:t>En l’occurrence, les conclusions de l'expertise pénale du 12 juillet 2018 font état d'un risque de réitération concret (cf. P. 52). On relève qu'à ce jour, le prévenu conteste l’ensemble des faits qui lui sont reprochés et refuse tout traitement propre à améliorer son état psychique. Ainsi, pour la Chambre de céans, et nonobstant l'absence d'antécédent connu d'acte de violence autre que celui faisant l'objet de la présente instruction, le prévenu présente une dangerosité concrète et un potentiel de violence important menaçant la sécurité d’autrui. Le risque de réitération demeure dès lors entier et justifie son maintien en détention provisoire. Pour le surplus, l'interdiction de contact ou de déplacement dans certains lieux telle que proposée par le recourant à titre de mesure de substitution n'a aucun sens puisqu’il est à craindre que l'intéressé quitte le territoire suisse (cf. consid. 4.3 supra).</w:t>
      </w:r>
    </w:p>
    <w:p>
      <w:r>
        <w:rPr>
          <w:b/>
        </w:rPr>
        <w:t>E. 7</w:t>
      </w:r>
    </w:p>
    <w:p>
      <w:r>
        <w:t>Le recourant est détenu depuis le 20 décembre 2017 et l'instruction arrive à son terme. Compte tenu des faits qui lui sont reprochés et de la peine à laquelle il s'expose, la détention provisoire ordonnée jusqu'au 20 novembre 2018 reste proportionnée.</w:t>
      </w:r>
    </w:p>
    <w:p>
      <w:r>
        <w:rPr>
          <w:b/>
        </w:rPr>
        <w:t>E. 8</w:t>
      </w:r>
    </w:p>
    <w:p>
      <w:r>
        <w:t>En définitive, le recours, manifestement mal fondé, doit être rejeté sans échange d’écritures (art. 390 al. 2 CPP) et l’ordonnance entreprise confirmée. Les frais de la procédure de recours, constitués en l’espèce de l’émolument d'arrêt, par 1'100 fr. (art. 20 al. 1 TFIP [Tarif des frais judiciaires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31 octobre 2018 est confirmée. III. L’indemnité allouée au défenseur d’office de U.________ est fixée à 581 fr. 60 (cinq cent huitante-et-un francs et soixante centimes). IV. Les frais d’arrêt, par 1'100 fr. (mille cent francs), ainsi que l’indemnité due au défenseur d’office de U.________, par 581 fr. 60 (cinq cent huitante-et-un francs et soixante centimes), sont mis à la charge de ce dernier. V. Le remboursement à l'Etat de l'indemnité allouée au chiffre III ci-dessus ne sera exigible que pour autant que la situation économique de U.________ le permette. VI. L’arrêt est exécutoire. Le président :               La greffière : Du Le présent arrêt, dont la rédaction a été approuvée à huis clos, est notifié, par l'envoi d'une copie complète, à : - Me Stephen Gintzburger, avocat (pour U.________), - Ministère public central, et communiqué à : ‑ M. le Président du Tribunal des mesures de contrainte, - Mme la Procureure de l'arrondissement de La Côte, - Me Stéphane Luginbühl, avocat (pour W.________),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