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91 vom 1. Februar 2018</w:t>
      </w:r>
    </w:p>
    <w:p>
      <w:r>
        <w:t>VD Tribunal cantonal, 2018-02-01, FR</w:t>
      </w:r>
    </w:p>
    <w:p>
      <w:r>
        <w:rPr>
          <w:b/>
        </w:rPr>
        <w:t xml:space="preserve">Quelle: </w:t>
      </w:r>
      <w:r>
        <w:t>https://mcp.opencaselaw.ch/entscheid/vd_findinfo_D_cision___2018___91</w:t>
      </w:r>
    </w:p>
    <w:p>
      <w:r>
        <w:t>FR: VD_FINDINFO Décision / 2018 / 91 du 1 février 2018</w:t>
      </w:r>
    </w:p>
    <w:p>
      <w:r>
        <w:t>IT: VD_FINDINFO Décision / 2018 / 91 del 1 febbraio 2018</w:t>
      </w:r>
    </w:p>
    <w:p>
      <w:pPr>
        <w:pStyle w:val="Heading2"/>
      </w:pPr>
      <w:r>
        <w:t>Regeste</w:t>
      </w:r>
    </w:p>
    <w:p>
      <w:r>
        <w:t>RÉCUSATION, DEMANDE ADRESSÉE À L'AUTORITÉ, REJET DE LA DEMANDE | 56 let. f CPP (CH), 59 CPP (CH)</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Z.________ à l’encontre du Procureur  W.________ (art. 13 LVCPP [loi vaudoise d’introduction du code de procédure pénale suisse du 19 mai 2009 ; RSV 312.01]).</w:t>
      </w:r>
    </w:p>
    <w:p>
      <w:r>
        <w:rPr>
          <w:b/>
        </w:rPr>
        <w:t>E. 2.1</w:t>
      </w:r>
    </w:p>
    <w:p>
      <w:r>
        <w:t>L'art. 56 let. a à e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(ATF 143 IV 69 consid. 3.2; ATF 138 IV 142 consid. 2.1).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 respectivement d'un procureur (cf. ATF 138 IV 142) – dont la situation ou le comportement est de nature à faire naître un doute sur son impartialité (ATF 126 I 68 consid. 3a ; TF 1B_629/2011 du 19 décembre 2011 consid. 2.1 et la référence citée).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consid. 3.2.1 ; ATF 134 I 20 consid. 4.2 ; TF 1B_311/2014 du 31 octobre 2014 ; TF 1B_105/2013 du 21 mai 2013 consid. 2.1).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138 IV 142 consid. 2.3 ; ATF 116 Ia 135 consid. 3a ; ATF 114 Ia 153 consid. 3b/bb ; ATF 111 Ia 259 consid. 3b/aa et les références citées ; TF 1B_311/2014 du 31 octobre 2014).</w:t>
      </w:r>
    </w:p>
    <w:p>
      <w:r>
        <w:rPr>
          <w:b/>
        </w:rPr>
        <w:t>E. 2.2</w:t>
      </w:r>
    </w:p>
    <w:p>
      <w:r>
        <w:t>En l’espèce, force est de constater que l’on ne discerne pas, dans les différentes décisions prises par le procureur, qui n’ont au demeurant pas été contestées par les voies de droit idoines, d’indices de prévention de la part de ce magistrat à l’égard du requérant. L’appréciation du procureur dans ce dossier, de même que le ton employé dans ses différents courriers, est impartiale et objective et ne prête pas le flanc à la critique. Il en va de même de l’appréciation de l’aptitude du recourant à comparaître pour être réentendu, à sa demande, cela malgré les certificats médicaux produits. Cette appréciation est confirmée par le fait que le requérant a pu partir en vacances à Dubaï – ce qu’il avait omis d’indiquer à la direction de la procédure – et qu’il est apparu parfaitement à même de comparaître lorsqu’il a été amené devant le procureur par la police le 26 janvier 2018.</w:t>
      </w:r>
    </w:p>
    <w:p>
      <w:r>
        <w:rPr>
          <w:b/>
        </w:rPr>
        <w:t>E. 3</w:t>
      </w:r>
    </w:p>
    <w:p>
      <w:r>
        <w:t>Il résulte de ce qui précède que la demande de récusation présentée le 25 janvier 2018 par Z.________ à l'encontre du Procureur W.________ doit être rejetée. Les frais de procédure, constitués en l’espèce du seul émolument de décision, par 550 fr. (art. 20 al. 1 TFIP [Tarif des frais de procédure et indemnités en matière pénale du 28 septembre 2010 ; RSV 312.03.1]), seront mis à la charge du requérant (art. 59 al. 4 CPP). Par ces motifs, la Chambre des recours pénale prononce : I . La demande de récusation déposée le 25 janvier 2018 par Z.________ est rejetée. II. Les frais de la présente procédure, par 550 fr. (cinq cent cinquante francs), sont mis à la charge d’Z.________. III. La décision est exécutoire. Le président :               La greffière : Du La présente décision, dont la rédaction a été approuvée à huis clos, est notifiée, par l'envoi d'une copie complète, à : - Me Olivier Constantin, avocat (pour Z.________ et [...]), - Ministère public central, et communiquée à : ‑ M. le Procureur de l’arrondissement de l’Est vaudois, - Me Christine Sattiva Spring, avocate (pour […]), - Me Aba Neeman, avocat (pour […]), - Me Christian Favre, avocat (pour H.________),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