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909 vom 7. November 2018</w:t>
      </w:r>
    </w:p>
    <w:p>
      <w:r>
        <w:t>VD Tribunal cantonal, 2018-11-07, FR</w:t>
      </w:r>
    </w:p>
    <w:p>
      <w:r>
        <w:rPr>
          <w:b/>
        </w:rPr>
        <w:t xml:space="preserve">Quelle: </w:t>
      </w:r>
      <w:r>
        <w:t>https://mcp.opencaselaw.ch/entscheid/vd_findinfo_D_cision___2018___909</w:t>
      </w:r>
    </w:p>
    <w:p>
      <w:r>
        <w:t>FR: VD_FINDINFO Décision / 2018 / 909 du 7 novembre 2018</w:t>
      </w:r>
    </w:p>
    <w:p>
      <w:r>
        <w:t>IT: VD_FINDINFO Décision / 2018 / 909 del 7 novembre 2018</w:t>
      </w:r>
    </w:p>
    <w:p>
      <w:pPr>
        <w:pStyle w:val="Heading2"/>
      </w:pPr>
      <w:r>
        <w:t>Regeste</w:t>
      </w:r>
    </w:p>
    <w:p>
      <w:r>
        <w:t>DÉCISION D'IRRECEVABILITÉ, QUALITÉ POUR AGIR ET RECOURIR, LÉSÉ, FAUX TÉMOIGNAGE | 382 al. 1 CPP (CH)</w:t>
      </w:r>
    </w:p>
    <w:p>
      <w:pPr>
        <w:pStyle w:val="Heading2"/>
      </w:pPr>
      <w:r>
        <w:t>Erwägungen</w:t>
      </w:r>
    </w:p>
    <w:p>
      <w:r>
        <w:rPr>
          <w:b/>
        </w:rPr>
        <w:t>E. 1</w:t>
      </w:r>
    </w:p>
    <w:p>
      <w:r>
        <w:t>Les parties peuvent attaquer une ordonnance de non-entrée en matière dans les dix jours devant l’autorité de recours (art. 310 al. 2 et 322 al. 2 CPP [Code de procédure pénale suisse du 5 octobre 2007 ; RS 312.0]). En l'espèce, l'ordonnance de non-entrée en matière a été envoyée par pli simple le 2 mai 2018, de sorte que la preuve de la date de sa réception par le destinataire est impossible à établir (ATF 142 IV 125). Le recours du 17 mai 2018 doit par conséquent être considéré comme déposé en temps utile.</w:t>
      </w:r>
    </w:p>
    <w:p>
      <w:r>
        <w:rPr>
          <w:b/>
        </w:rPr>
        <w:t>E. 2.1</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 TF 6B_531/2016 du 5 mai 2017 consid. 3.1 ; Perrier, Commentaire romand, Code de procédure pénale suisse, Bâle 2011, n. 6 et 8 ad art. 115 CPP et les arrêts cités ; Mazzuchelli/Postizzi, Basler Kommentar, Schweizerische Strafprozessordnung, Jugendstrafprozessordnung, 2 e éd., Bâle 2014, n. 21 ad art. 115 CPP ; ATF 141 IV 1 consid. 3.1 ; ATF 138 IV 258 consid. 2.2 et 2.3 et les références citées ; TF 6B_557/2011 du 9 mars 2011 consid. 5.1, cités par Garbarski, Le lésé et la partie plaignante en procédure pénale : état des lieux de la jurisprudence récente, SJ 2012 II 123, spéc. p. 124).</w:t>
      </w:r>
    </w:p>
    <w:p>
      <w:r>
        <w:rPr>
          <w:b/>
        </w:rPr>
        <w:t>E. 2.2</w:t>
      </w:r>
    </w:p>
    <w:p>
      <w:r>
        <w:t>L'art. 307 al. 1 CP punit celui qui, étant témoin, expert, traducteur ou interprète en justice, aura fait une déposition fausse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ne sont défendus que de manière secondaire. Les particuliers ne seront donc considérés comme des lésés que si leurs intérêts privés ont été effectivement touchés par le faux témoignage, ce qu'ils doivent exposer (TF 6B_92/2018 du 17 mai 2018 consid. 2.3 et les références citées ; ATF 123 IV 184 consid. 1c).</w:t>
      </w:r>
    </w:p>
    <w:p>
      <w:r>
        <w:rPr>
          <w:b/>
        </w:rPr>
        <w:t>E. 2.3</w:t>
      </w:r>
    </w:p>
    <w:p>
      <w:r>
        <w:t>En l'espèce, le recourant soutient que G.________ aurait menti en disant : « Je confirme que les comptes de C.________ furent livrés à l'été 2014 ». Il se prévaut d'un courriel de la société [...] qui mentionnerait que les comptes ont finalement été livrés le 10 novembre 2014 (P. 6). Il ajoute que ce mensonge « semble peser lourd dans la décision du Juge de paix ». En réalité, on voit mal – et le recourant ne l'expose pas clairement – en quoi le fait que les comptes de C.________ auraient été livrés en novembre 2014 plutôt qu'avant le 22 septembre 2014 a effectivement pu avoir eu une incidence sur le jugement rendu par la Juge de paix et, en particulier, en défaveur du recourant. En effet, dans sa décision du 30 juin 2017, la Juge de paix indique que le recourant affirme que la rémunération forfaitaire de 16'000 fr. consistait notamment à clôturer les comptes de W.________SA et [...] et à établir les comptes consolidés du groupe W.________SA, mais que l'établissement des comptes de C.________, [...], [...] et [...] – opérations préalables à la consolidation – n'était pas inclus dans le forfait (p. 17), et que W.________SA l'avait sollicité hors mandat pour faire ce travail, ce que la défenderesse réfute (p. 8 in fine et p. 9 ab initio ). En se fondant sur le fait que l'avenant du 8 juillet 2014 était clair, singulièrement sur la rémunération forfaitaire globale à ne pas dépasser, la Juge de paix a considéré que dans la mesure où il travaillait pour la défenderesse depuis le 1 er avril 2011, le recourant devait s'attendre à ce que toutes les opérations préalables à la consolidation des comptes du groupe soient comprises dans ce forfait et que s'il avait effectué du travail de clôture et de consolidation des comptes du groupe postérieurement au 30 septembre 2014, c'était en raison de son retard et non pas parce que cette tâche n'était pas comprise dans la rémunération globale (p. 18). La magistrate a de plus relevé que ni les pièces ni les témoignages ne démontraient que le demandeur aurait été sollicité pour accomplir des tâches supplémentaires à celles prévues par l'avenant du 8 juillet 2014 après le 30 septembre 2014 (p. 17). Vu les éléments qui précèdent, force est de constater que l'argument du recourant selon lequel les comptes de C.________ auraient été livrés le 10 novembre 2014 n'a eu aucune influence sur le raisonnement de la Juge de paix, fondé sur l'interprétation de l'avenant du 8 juillet 2014 selon le principe de la confiance et sur la demeure du recourant de livrer tous les comptes avant la fin du contrat, le 30 septembre 2014. A supposer que le courriel de [...] du 10 novembre 2014 ait la portée que lui prête le recourant, il se référait à une tâche comprise dans l'avenant et effectuée après la fin du mandat en raison de la demeure du mandataire, et non à une nouvelle tâche non comprise dans le forfait de 16'000 francs.</w:t>
      </w:r>
    </w:p>
    <w:p>
      <w:r>
        <w:rPr>
          <w:b/>
        </w:rPr>
        <w:t>E. 2.4</w:t>
      </w:r>
    </w:p>
    <w:p>
      <w:r>
        <w:t>En conclusion, le recourant n'établit pas ni même ne rend vraisemblable sa qualité de lésé par le prétendu faux témoignage de G.________. Il n'expose pas non plus en quoi la déclaration en cause aurait touché ses droits, notamment patrimoniaux. Dans ces conditions, l'infraction de faux témoignage dénoncée n'est pas susceptible de léser directement le recourant dans un intérêt personnel et juridiquement protégé, de sorte que la qualité pour recourir au sens de l'art. 382 al. 1 CPP doit lui être déniée. Le recours doit par conséquent être déclaré irrecevable.</w:t>
      </w:r>
    </w:p>
    <w:p>
      <w:r>
        <w:rPr>
          <w:b/>
        </w:rPr>
        <w:t>E. 3</w:t>
      </w:r>
    </w:p>
    <w:p>
      <w:r>
        <w:t>Les frais de la procédure de recours, par 660 fr. (art. 20 al. 1 TFIP [tarif des frais de procédure et indemnités en matière pénale du 28 septembre 2010 ; RSV 312.03.1]), seront mis à la charge du recourant, qui succombe (art. 428 al. 1 CPP). Le montant de 550 fr. versé par le recourant à titre de sûretés sera imputé sur les frais d'arrêt précités (art. 383 al. 1 CPP ; art. 7 TFIP ; CREP 25 octobre 2017/730 ; CREP 15 septembre 2017/631). Par ces motifs, la Chambre des recours pénale prononce : I. Le recours est irrecevable. II. Les frais d'arrêt, par 660 fr. (six cent soixante francs), sont mis à la charge de X.________. III. Le montant de 550 fr. (cinq cent cinquante francs) versé par X.________ à titre de sûretés est imputé sur les frais mis à sa charge au chiffre II ci-dessus.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