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908 vom 7. November 2018</w:t>
      </w:r>
    </w:p>
    <w:p>
      <w:r>
        <w:t>VD Tribunal cantonal, 2018-11-07, FR</w:t>
      </w:r>
    </w:p>
    <w:p>
      <w:r>
        <w:rPr>
          <w:b/>
        </w:rPr>
        <w:t xml:space="preserve">Quelle: </w:t>
      </w:r>
      <w:r>
        <w:t>https://mcp.opencaselaw.ch/entscheid/vd_findinfo_D_cision___2018___908</w:t>
      </w:r>
    </w:p>
    <w:p>
      <w:r>
        <w:t>FR: VD_FINDINFO Décision / 2018 / 908 du 7 novembre 2018</w:t>
      </w:r>
    </w:p>
    <w:p>
      <w:r>
        <w:t>IT: VD_FINDINFO Décision / 2018 / 908 del 7 novembre 2018</w:t>
      </w:r>
    </w:p>
    <w:p>
      <w:pPr>
        <w:pStyle w:val="Heading2"/>
      </w:pPr>
      <w:r>
        <w:t>Regeste</w:t>
      </w:r>
    </w:p>
    <w:p>
      <w:r>
        <w:t>DÉFENSE D'OFFICE, RELATION DE CONFIANCE | 12 let. a LLCA, 134 al. 2 CPP (CH)</w:t>
      </w:r>
    </w:p>
    <w:p>
      <w:pPr>
        <w:pStyle w:val="Heading2"/>
      </w:pPr>
      <w:r>
        <w:t>Erwägungen</w:t>
      </w:r>
    </w:p>
    <w:p>
      <w:r>
        <w:rPr>
          <w:b/>
        </w:rPr>
        <w:t>E. 1</w:t>
      </w:r>
    </w:p>
    <w:p>
      <w:r>
        <w:t>Interjeté en temps utile (art. 396 CPP) contre une ordonnance en matière de révocation et de remplacement du défenseur d'office (CREP 16 février 2018/127 ; Harari/Aliberti, in : Kuhn/Jeanneret [éd.], Commentaire romand, Code de procédure pénale suisse, Bâle 2011, n. 25 ad art. 134 CPP), par le prévenu, qui a qualité pour recourir (art. 382 CPP ; Ruckstuhl, in : Niggli/Heer/Wiprächtiger [éd.], Basler Kommentar, Schweizerische Strafprozessordnung, Jugendstrafprozessordnung, 2 e éd., Bâle 2014, n. 5 ad art. 133 CPP et les réf. citées), le recours est recevable.</w:t>
      </w:r>
    </w:p>
    <w:p>
      <w:r>
        <w:rPr>
          <w:b/>
        </w:rPr>
        <w:t>E. 2</w:t>
      </w:r>
    </w:p>
    <w:p>
      <w:r>
        <w:t>Le recourant soutient que le rapport de confiance qui doit exister entre le client et son avocat n’existerait pas avec son défenseur d'office. A l'appui de ce moyen, il se réfère aux demandes réitérées qu'il a adressées à la présidente du tribunal d'arrondissement ainsi qu'au courrier du 20 septembre 2018 par lequel l'avocat D.________ avait demandé à être relevé de son mandat.</w:t>
      </w:r>
    </w:p>
    <w:p>
      <w:r>
        <w:rPr>
          <w:b/>
        </w:rPr>
        <w:t>E. 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(TF 6B_286/2013 du 14 octobre 2013 consid. 1.2).</w:t>
      </w:r>
    </w:p>
    <w:p>
      <w:r>
        <w:rPr>
          <w:b/>
        </w:rPr>
        <w:t>E. 2.2</w:t>
      </w:r>
    </w:p>
    <w:p>
      <w:r>
        <w:t>En l'espèce, le motif invoqué par le recourant à l'appui de sa requête du 23 octobre 2018 en remplacement de son défenseur d'office consiste dans le fait que celui-ci a demandé le 22 octobre 2018 à se faire remettre le dossier de la cause pour consultation à son étude. Le recourant en déduit que son défenseur n'a encore rien fait pour préparer sa défense à l'audience du 14 novembre 2018. Ce motif est inepte. En effet, tout défenseur consciencieux doit consulter le dossier peu avant une audience. On ne peut évidemment pas déduire de ce fait que le défenseur n'aurait encore rien fait. Par ailleurs, le recourant ne peut se prévaloir du fait que son défenseur a souhaité, par courrier du 20 septembre 2018, être relevé de son mandat. En effet, la présidente du tribunal d'arrondissement a rejeté cette demande par décision du 21 septembre 2018, qui n'a pas fait l'objet d'un recours. Par ailleurs, il est légitime de penser qu'après ce refus, l'avocat a poursuivi ses démarches afin de sauvegarder les intérêts de son client en demandant dès le 22 septembre 2018 à pouvoir consulter le dossier de la cause en prévision de l'audience fixée au 14 novembre 2018. Ainsi, comme l’a retenu la présidente du tribunal d’arrondissement, les reproches du recourant ne sont pas fondés. Aucun élément ne permet au surplus de douter que le recourant bénéficie d’une défense efficace. La prétendue perte de confiance ne repose que sur des motifs subjectifs, lesquels ne sont pas suffisants pour obtenir le remplacement d’un avocat d’office.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24 octobre 2018 est confirmée. III. Les frais de la procédure de recours, par 770 fr. (sept cent septante francs), sont mis à la charge de C.________. IV. L’arrêt est exécutoire. Le président :               La greffière : Du Le présent arrêt, dont la rédaction a été approuvée à huis clos, est notifié, par l'envoi d'une copie complète, à : - M. C.________, - Me D.________, avocat (pour C.________), - Ministère public central, et communiqué à : ‑ Mme la Présidente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