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902 vom 5. November 2018</w:t>
      </w:r>
    </w:p>
    <w:p>
      <w:r>
        <w:t>VD Tribunal cantonal, 2018-11-05, FR</w:t>
      </w:r>
    </w:p>
    <w:p>
      <w:r>
        <w:rPr>
          <w:b/>
        </w:rPr>
        <w:t xml:space="preserve">Quelle: </w:t>
      </w:r>
      <w:r>
        <w:t>https://mcp.opencaselaw.ch/entscheid/vd_findinfo_D_cision___2018___902</w:t>
      </w:r>
    </w:p>
    <w:p>
      <w:r>
        <w:t>FR: VD_FINDINFO Décision / 2018 / 902 du 5 novembre 2018</w:t>
      </w:r>
    </w:p>
    <w:p>
      <w:r>
        <w:t>IT: VD_FINDINFO Décision / 2018 / 902 del 5 novembre 2018</w:t>
      </w:r>
    </w:p>
    <w:p>
      <w:pPr>
        <w:pStyle w:val="Heading2"/>
      </w:pPr>
      <w:r>
        <w:t>Regeste</w:t>
      </w:r>
    </w:p>
    <w:p>
      <w:r>
        <w:t>DÉTENTION POUR DES MOTIFS DE SÛRETÉ, RISQUE DE FUITE, PRINCIPE DE LA CÉLÉRITÉ, ACTE D'ACCUSATION | 221 al. 1 let. a CPP (CH), 227 CPP (CH), 229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avant jugement (CREP 21 février 2018/142; CREP 18 octobre 2017/708 et les références citées).</w:t>
      </w:r>
    </w:p>
    <w:p>
      <w:r>
        <w:rPr>
          <w:b/>
        </w:rPr>
        <w:t>E. 1.2</w:t>
      </w:r>
    </w:p>
    <w:p>
      <w:r>
        <w:t>En l’espèce, déposé en temps utile et dans les formes prescrites (cf. art. 385 al. 1 CPP) par un détenu qui a qualité pour recourir (art. 382 CPP), le recours est recevable.</w:t>
      </w:r>
    </w:p>
    <w:p>
      <w:r>
        <w:rPr>
          <w:b/>
        </w:rPr>
        <w:t>E. 2</w:t>
      </w:r>
    </w:p>
    <w:p>
      <w:r>
        <w:t>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1 re phrase, CPP, applicable par analogie à la détention pour des motifs de sûreté en vertu du renvoi de l’art. 229 al. 3 let. b CP en cas de détention provisoire préalable). L’art. 229 CPP prévoit que, sur demande écrite du ministère public, le tribunal des mesures de contrainte statue sur la détention pour des motifs de sûreté lorsqu'elle fait suite à une détention provisoire (al. 1); lorsque les motifs de détention n'apparaissent qu'après le dépôt de l'acte d'accusation, la direction de la procédure du tribunal de première instance exécute la procédure de détention en appliquant par analogie l'art. 224 CPP et demande au tribunal des mesures de contrainte d'ordonner la détention pour des motifs de sûreté (al. 2).</w:t>
      </w:r>
    </w:p>
    <w:p>
      <w:r>
        <w:rPr>
          <w:b/>
        </w:rPr>
        <w:t>E. 3.1</w:t>
      </w:r>
    </w:p>
    <w:p>
      <w:r>
        <w:t>En l’espèce, l’existence de soupçons justifiant la détention avant jugement n’est à juste titre pas contestée. Se réclamant de la jurisprudence fédérale (TF 1B_188/2012 du 19 avril 2012), le recourant fait d’abord valoir que le Ministère public n’était pas compétent pour demander sa mise en détention pour des motifs de sûreté, dès lors qu’il a agi le lendemain de la notification de l’acte d’accusation. Dès lors, il aurait incombé à la direction de la procédure du tribunal de première instance de requérir la détention pour des motifs de sûreté. Ce moyen méconnaît que, selon la lettre de l’art. 229 al. 2 CPP, ce n’est que lorsque les motifs de détention n'apparaissent qu'après le dépôt de l'acte d'accusation que la direction de la procédure du tribunal de première instance exécute la procédure de détention. Dans un arrêt postérieur à celui dont se prévaut le recourant, le Tribunal fédéral a ainsi précisé que, comme la détention provisoire s’achève avec la notification de l’acte d’accusation au tribunal de première instance, le Ministère public doit présenter une demande de détention pour des motifs de sûreté même si la durée de la détention provisoire fixée dans le cadre de la procédure préliminaire n’est pas encore écoulée (TF 1B_1/2014 du 5 février 2014 consid. 2.1; Moreillon/Parein-Reymond, Petit commentaire CPP, 2 e éd., Bâle 2016, n. 4 ad art. 229 CPP). En l’occurrence, l’acte d’accusation et la demande de détention pour des motifs de sûreté sont datés du même jour, soit du 9 octobre 2018, date évidemment antérieure à l’échéance du 11 novembre 2018 fixée par l’ordonnance du 6 août 2018. Il s’ensuit que la demande de détention pour des motifs de sûreté était encore de la compétence du Ministère public et qu’elle a été déposée conformément à la jurisprudence.</w:t>
      </w:r>
    </w:p>
    <w:p>
      <w:r>
        <w:rPr>
          <w:b/>
        </w:rPr>
        <w:t>E. 3.2</w:t>
      </w:r>
    </w:p>
    <w:p>
      <w:r>
        <w:t>Cela étant, le recourant se prévaut encore d’une violation du principe de célérité. Il soutient que l’autorité de jugement n’aurait été saisie que tardivement. Il se prévaut du fait que, dans son ordonnance du 6 août 2018, le Tribunal des mesures de contrainte avait enjoint le Ministère public à agir sans désemparer. Or, l’avis de prochaine clôture a été communiqué à son défenseur d’office avec un délai de détermination au 31 août 2018 et l’acte d’accusation n’a été dressé que le 9 octobre 2018. L’atteinte au principe de célérité serait d’autant plus grave que l’ouverture des débats n’est fixée qu’au 5 février 2019. On ne voit pas en quoi le Ministère public aurait failli à son obligation d’engager l’accusation sans retard au sens des art. 5 et 327 al. 1 in initio CPP. En particulier, les opérations de clôture ont pu intervenir dans le mois, soit dans un délai adéquat. Quant à la phase ultérieure de la procédure, la durée séparant le terme du délai de détermination imparti par l’avis de prochaine clôture de la notification de l’acte d’accusation n’apparaît pas excessive. Quant à l’audience de jugement, elle a été fixée dans les quatre mois suivant le dépôt de l’acte d’accusation. Il n’y a donc aucune violation du principe de célérité.</w:t>
      </w:r>
    </w:p>
    <w:p>
      <w:r>
        <w:rPr>
          <w:b/>
        </w:rPr>
        <w:t>E. 4</w:t>
      </w:r>
    </w:p>
    <w:p>
      <w:r>
        <w:t>Pour le reste, le risque de fuite apparaît concret pour les motifs indiqués par le Tribunal des mesures de contrainte dans son ordonnance du</w:t>
      </w:r>
    </w:p>
    <w:p>
      <w:r>
        <w:rPr>
          <w:b/>
        </w:rPr>
        <w:t>E. 6</w:t>
      </w:r>
    </w:p>
    <w:p>
      <w:r>
        <w:t>août 2018, à laquelle renvoie expressément la décision attaquée, tout comme l’ordonnance du 6 août 2018 se référait aux précédentes. Un tel procédé est licite en l'absence de circonstance justifiant une nouvelle appréciation de la situation (TF 1B_149/2010 du 1 er juin 2010 consid. 1.3 et les réf. cit.; cf. aussi CREP 23 août 2018/645 consid. 3.3; CREP 17 mai 2016/320 consid. 2.2.3). 5. Il résulte de ce qui précède que le recours, manifestement mal fondé, doit être rejeté sans échange d’écritures (art. 390 al. 2 CPP) et l’ordonnance attaquée confirmée.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22 octobre 2018 est confirmée. III. L’indemnité allouée au défenseur d’office de B.________ est fixée à 387 fr. 70 (trois cent huitante-sept francs et septante centimes). IV. Les frais de la procédure de recours, par 770 fr. (sept cent septante francs), ainsi que l’indemnité due au défenseur d’office de B.________, par 387 fr. 70 (trois cent huitante-sept francs et septante centimes), sont mis à la charge de ce dernier. V. Le remboursement à l’Etat de l’indemnité allouée au chiffre III ci-dessus ne sera exigible que pour autant que la situation financière de B.________ le permette. VI. L’arrêt est exécutoire. Le président : Le greffier : Du Le présent arrêt, dont la rédaction a été approuvée à huis clos, est notifié, par l'envoi d'une copie complète, à : - Me Laurent Gilliard, avocat (pour B.________), - Ministère public central, et communiqué à : - Mme la Présidente du Tribunal des mesures de contrainte,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