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896 vom 24. August 2018</w:t>
      </w:r>
    </w:p>
    <w:p>
      <w:r>
        <w:t>VD Tribunal cantonal, 2018-08-24, FR</w:t>
      </w:r>
    </w:p>
    <w:p>
      <w:r>
        <w:rPr>
          <w:b/>
        </w:rPr>
        <w:t xml:space="preserve">Quelle: </w:t>
      </w:r>
      <w:r>
        <w:t>https://mcp.opencaselaw.ch/entscheid/vd_findinfo_D_cision___2018___896</w:t>
      </w:r>
    </w:p>
    <w:p>
      <w:r>
        <w:t>FR: VD_FINDINFO Décision / 2018 / 896 du 24 août 2018</w:t>
      </w:r>
    </w:p>
    <w:p>
      <w:r>
        <w:t>IT: VD_FINDINFO Décision / 2018 / 896 del 24 agosto 2018</w:t>
      </w:r>
    </w:p>
    <w:p>
      <w:pPr>
        <w:pStyle w:val="Heading2"/>
      </w:pPr>
      <w:r>
        <w:t>Regeste</w:t>
      </w:r>
    </w:p>
    <w:p>
      <w:r>
        <w:t>CLASSEMENT DE LA PROCÉDURE, APPRÉCIATION DES PREUVES, MEURTRE, TENTATIVE{DROIT PÉNAL} |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du 12 décembre 1979 ; RSV 173.01]). 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6B_721/2016 du 10 mars 2017 consid. 2.1).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w:t>
      </w:r>
    </w:p>
    <w:p>
      <w:r>
        <w:t>Invoquant une constatation erronée des faits, une violation de son droit d’être entendue et du principe in dubio pro duriore , la recourante reproche en substance au Ministère public d’avoir abusé de son pouvoir d’appréciation. Selon elle, divers éléments confirmeraient sa version des faits et un complément d'instruction devrait être mené.</w:t>
      </w:r>
    </w:p>
    <w:p>
      <w:r>
        <w:rPr>
          <w:b/>
        </w:rPr>
        <w:t>E. 3.1</w:t>
      </w:r>
    </w:p>
    <w:p>
      <w:r>
        <w:t>Dans un premier moyen, la recourante requiert la réaudition de M.________. Elle fait valoir d’une part que contrairement à ce qu’a retenu le procureur, le prévenu n’aurait pas toujours contesté les faits puisqu’il avait d’abord déclaré ne pas en avoir de souvenir. D’autre part, l'extraction des appels du téléphone du prévenu démontrerait qu'il aurait appelé la recourante à 21 h 08 (et non 21 h 48 comme l’aurait retenu par erreur le rapport de police du 27 février 2017, cf. P. 14 et P. 15 p. 12), soit bien avant les faits. Si la recourante s'était déjà automutilée comme le penserait le Ministère public, les protagonistes n’auraient pas pu se parler. Enfin, les lésions présentées par M.________ seraient compatibles avec la version des faits de la recourante. Ces arguments ne sont pas pertinents. Il ressort de l'extraction de l’appel précité que la durée de la conversation en question est d’une seconde, ce qui est trop court pour une conversation. En outre, le rapport du CURML du 9 mars 2017 mentionne que les lésions relevées sur M.________ sont compatibles avec sa version des faits (P. 17, p. 4). Si la version de la recourante pourrait certes également expliquer les lésions du prévenu à la main, il convient toutefois de relever non seulement que R.________ a elle-même déclaré que M.________ ne présentait qu’une lésion à la tête et qu’il n’avait pas été blessé à la main (PV aud. 5, R. 12) – ce qui corrobore au demeurant la version du prévenu selon laquelle il se serait blessé après son départ –, mais surtout que la version des faits de la recourante a été écartée par les experts du CURML, qui ont considéré que la blessure qu’elle présentait au cou n’avait pas été causée par un geste hétéro-agressif. Dans ces circonstances, on ne voit pas en quoi une nouvelle audition de M.________ serait encore nécessaire.</w:t>
      </w:r>
    </w:p>
    <w:p>
      <w:r>
        <w:rPr>
          <w:b/>
        </w:rPr>
        <w:t>E. 3.2</w:t>
      </w:r>
    </w:p>
    <w:p>
      <w:r>
        <w:t>Dans un deuxième moyen, la recourante reproche au procureur de ne pas avoir expliqué comment elle aurait pu se blesser elle-même entre sa sortie de l'appartement et le moment où elle a été retrouvée par V.________, ce d'autant plus que les éléments suivants conduiraient à la conclusion inverse. En premier lieu, la recourante relève que les couteaux retrouvés dans son sac n'étaient pas tachés de sang et qu’aucune autre arme ou objet tranchant n'a été retrouvé sur le chemin qu’elle a emprunté. Certes, mais comme l’a indiqué le procureur, lors de l'intervention de la police, R.________ a été considérée comme ayant été victime d'une agression. L’hypothèse d’une automutilation n’a pas été d'emblée envisagée et les opérations se sont immédiatement limitées à l’appartement de M.________ où la plaignante avait déclaré avoir été agressée, ce qui explique, d’une part, que la police n’ait pas recherché d’objet tranchant à l’extérieur dans les environs immédiats de R.________ et, d’autre part, le fait que les couteaux découverts dans le sac de cette dernière n’aient pas été saisis. La recourante soutient ensuite qu’il faudrait déduire des déclarations du témoin V.________ qu'elle était déjà blessée en sortant de l'appartement, respectivement de l’immeuble du prévenu. C'est inexact, car ce témoin a d'emblée précisé que lorsqu'elle a découvert la recourante, celle-ci était déjà à terre. Rien dans la déposition de V.________ ne va dans le sens du recours. La recourante considère enfin que les médecins et ambulanciers qui l’ont prise en charge le soir des faits auraient dû être interpellés sur la question de savoir si sa blessure au cou aurait été susceptible de saigner à tel point qu’elle aurait laissé de façon certaine des traces sur son passage. Comme l’a indiqué le Ministère public, une telle mesure est inutile dans la mesure où la cause apparaît suffisamment instruite sur l’origine de la blessure de la recourante. En effet, dans leurs rapports des 9 mars et 27 octobre 2017, les experts du CURML confirment la thèse de l'automutilation (P. 18 et 38), qui est celle qui a également été retenue par les inspecteurs (P. 15 et 27). Cette thèse s’avère d’autant plus renforcée qu’il est établi que la recourante avait à plusieurs reprises tenté de mettre fin à ses jours avant les faits (P. 31/4) et qu’elle s’était déjà tranché la gorge par le passé avec une lame de rasoir (P. 6).</w:t>
      </w:r>
    </w:p>
    <w:p>
      <w:r>
        <w:rPr>
          <w:b/>
        </w:rPr>
        <w:t>E. 3.3</w:t>
      </w:r>
    </w:p>
    <w:p>
      <w:r>
        <w:t>Dans un troisième moyen, la recourante relève que sur les six échantillons ADN liés à des prélèvements de sang dans l'appartement du prévenu, cinq présentent un profil ADN masculin. Le rapport de la police scientifique du 12 juillet 2017 précise que le sixième échantillon ne comporte aucun profil biologique (cf. P. 30), alors que les analyses préciseraient qu’un profil ADN aurait bien été identifié mais qu’il n’était pas « interprétable » (cf. P. 29, p. 4). Or, selon la recourante, cet échantillon-là présenterait une importance capitale puisque ce serait celui prélevé sur un tesson de bouteille qui aurait pu servir à l’agression. Le procureur aurait ainsi dû procéder à l’audition de l’inspecteur H.________, auteur du rapport du 12 juillet 2017, afin de déterminer si le tesson de bouteille précité aurait pu être nettoyé ou passé sous l’eau. Ce moyen doit également être rejeté. Le rapport de police scientifique indique qu'aucune trace de profil ADN féminin n'a été trouvée sur les différents prélèvements (P. 33, p. 5). Dans ces circonstances, on ne voit pas ce qui pourrait être fait de plus s’agissant du profil ADN jugé ininterprétable par la police, cet élément ne pouvant d’une quelconque manière constituer un élément probant dans un sens ou dans l’autre.</w:t>
      </w:r>
    </w:p>
    <w:p>
      <w:r>
        <w:rPr>
          <w:b/>
        </w:rPr>
        <w:t>E. 3.4</w:t>
      </w:r>
    </w:p>
    <w:p>
      <w:r>
        <w:t>Faisant valoir qu’elle n’aurait jamais mis en cause un tiers lorsqu’elle avait tenté de mettre fin à ses jours par le passé et qu’elle n’aurait eu aucune raison d’accuser M.________, la recourante requiert dans un quatrième moyen l'audition du Dr G.________. Cette mesure s’avère également inutile et ne permettrait pas de remettre en cause les conclusions formelles des médecins légistes sur l’origine de la blessure au cou de la recourante. Contrairement à ce que soutient R.________, le rapport qu’a établi le Dr G.________ et qui figure au dossier apporte un éclairage suffisant sur les problèmes de santé qu’elle rencontre depuis plusieurs années (cf. P. 31/4). Sa tendance à l'automutilation est par ailleurs également documentée par le rapport de police du 28 juillet 2017 (P. 33), faisant état d’une tentative de s'ouvrir la carotide en 2015, de deux tentatives de défenestration, l’une en 2015, la seconde en 2016, puis, après les faits, d’une tentative d’étranglement avec une écharpe suivie de coups de scalpel dans le ventre et d’une tentative de s'ouvrir les veines.</w:t>
      </w:r>
    </w:p>
    <w:p>
      <w:r>
        <w:rPr>
          <w:b/>
        </w:rPr>
        <w:t>E. 4</w:t>
      </w:r>
    </w:p>
    <w:p>
      <w:r>
        <w:t>A l’appui de sa décision de classement, le procureur a retenu, outre les conclusions du CURML, l'absence de toute trace de sang de la plaignante tant dans l'appartement que dans l'immeuble du prévenu, ainsi que la faible crédibilité de l’intéressée qui s’est montrée incohérente en revenant sur ses accusations. Cette appréciation ne prête pas le flanc à la critique et on ne discerne aucune raison de renvoyer le prévenu en jugement en application du principe in dubio pro duriore. L’ordonnance de classement s’avère ainsi parfaitement fondée.</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de l’émolument d’arrêt, par 1’540 fr. (art. 20 al. 1 TFIP [Tarif des frais de procédure et indemnités en matière pénale du 28 septembre 2010 ; RSV 312.03.1]), ainsi que des frais imputables à l’assistance du conseil juridique gratuit (art. 422 al. 1 et 2 let. a CPP), fixés à 1’540 fr., plus la TVA, par 118 fr. 60, soit à 1'658 fr. 60 au total, ne peuvent être, même en partie, mis à la charge de R.________ selon l’art. 428 al. 1 CPP, mais doivent être provisoirement laissés à la charge de l’Etat. En effet, la recourante bénéficie de l’assistance judiciaire gratuite sous la forme de l’exonération des frais de procédure (art. 136 al. 2 let. b CPP) et de l’assistance d’un conseil juridique gratuit (art. 136 al. 2 let. b CPP) indemnisé conformément à l’art. 135 al. 1 CPP, applicable par analogie en vertu du renvoi de l’art. 138 al. 1 CPP (CREP 14 mai 2018/351 ; CREP 30 décembre 2016/874 ; CREP 9 juillet 2013/652 consid. 3 ; Harari/Corminboeuf, in : Kuhn/ Jeanneret [éd.], Code de procédure pénale suisse, Commentaire romand, Bâle 2011, n. 51 ad art. 136 CPP). La recourante sera néanmoins tenue de rembourser ces frais à l’Etat dès que sa situation financière le permettra (art. 135 al. 4 CPP et 138 al. 1 CPP ; CREP 25 juillet 2018/562 ; Harari/Corminboeuf, op. cit., n. 11 ad art. 138 CPP). Par ces motifs, la Chambre des recours pénale prononce : I. Le recours est rejeté. II. L’ordonnance du 20 avril 2018 est confirmée. III. L’indemnité allouée au conseil juridique gratuit de R.________ est fixée à 1'658 fr. 60 (mille six cent cinquante-huit francs et soixante centimes). IV. Les frais d’arrêt, par 1'540 fr. (mille cinq cent quarante francs), ainsi que l’indemnité allouée au conseil juridique gratuit de R.________, par 1'658 fr. 60 (mille six cent cinquante-huit francs et soixante centimes), sont provisoirement laissés à la charge de l’Etat. V. Le remboursement à l’Etat de l’indemnité et des frais fixés aux chiffres III et IV ci-dessus ne sera exigible que pour autant que la situation financière de R.________ le permette. VI. L’arrêt est exécutoire. Le président :               La greffière : Du Le présent arrêt, dont la rédaction a été approuvée à huis clos, est notifié, par l'envoi d'une copie complète, à : - Me Stéfanie Brun Poggi, avocate (pour R.________), - Me Christophe Borel, avocat (pour 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