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863 vom 24. Oktober 2018</w:t>
      </w:r>
    </w:p>
    <w:p>
      <w:r>
        <w:t>VD Tribunal cantonal, 2018-10-24, FR</w:t>
      </w:r>
    </w:p>
    <w:p>
      <w:r>
        <w:rPr>
          <w:b/>
        </w:rPr>
        <w:t xml:space="preserve">Quelle: </w:t>
      </w:r>
      <w:r>
        <w:t>https://mcp.opencaselaw.ch/entscheid/vd_findinfo_D_cision___2018___863</w:t>
      </w:r>
    </w:p>
    <w:p>
      <w:r>
        <w:t>FR: VD_FINDINFO Décision / 2018 / 863 du 24 octobre 2018</w:t>
      </w:r>
    </w:p>
    <w:p>
      <w:r>
        <w:t>IT: VD_FINDINFO Décision / 2018 / 863 del 24 ottobre 2018</w:t>
      </w:r>
    </w:p>
    <w:p>
      <w:pPr>
        <w:pStyle w:val="Heading2"/>
      </w:pPr>
      <w:r>
        <w:t>Regeste</w:t>
      </w:r>
    </w:p>
    <w:p>
      <w:r>
        <w:t>DÉTENTION PROVISOIRE, PROLONGATION, RISQUE DE FUITE, RISQUE DE RÉCIDIVE, PROPORTIONNALITÉ | 212 CPP (CH), 221 al. 1 let. a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d’A.Z.________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3.1</w:t>
      </w:r>
    </w:p>
    <w:p>
      <w:r>
        <w:t>Le recourant conteste l’existence de soupçons sérieux de culpabilité à son égard. Il soutient que lorsque l’on confronte certaines déclarations de B.Z.________ aux éléments factuels au dossier, les soupçons ne seraient plus suffisants. En particulier, il fait valoir que la mère de la victime et des locataires devaient se trouver à la maison lors de certains actes, si bien qu’il se demande pourquoi ces derniers n’auraient rien entendu, ni vu, ni su. Pour le reste, il considère que les informations numériques figurant sur les ordinateurs saisis ne le mettraient pas en cause, que quelques pièces comporteraient des incohérences et qu’un journal du Service [...] (ci-après : le [...]) mentionnerait que B.Z.________ serait manipulatrice.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l’espèce, les arguments et les quelques incohérences soulevés par le recourant ne remettent pas en cause l’existence de graves soupçons de culpabilité pesant contre lui. En premier lieu, on rappelle qu’il n’appartient pas à l’autorité de céans de faire une pesée complète des éléments à charge et à décharge, d’apprécier de manière méticuleuse les déclarations des parties et donc de procéder à une complète administration des preuves, cette tâche incombant à l’autorité de jugement. En l’occurrence, à ce stade, il existe un faisceau d’indices concordants permettant de soupçonner l’intéressé d’avoir commis les faits qui lui sont reprochés. Quoi qu’en dise le recourant, les déclarations de B.Z.________ sont détaillées. Aucun élément n’a jusqu’alors été en mesure de les infirmer, ni de remettre en doute la crédibilité de la victime. De plus, un examen physique de l’enfant a révélé des marques importantes autour de l’anus de celle-ci. Enfin, les nouvelles pièces versées au dossier sont de nature à corroborer les déclarations de B.Z.________. On relève par exemple que la mère de la victime a déclaré devant le Juge de paix qu’elle croyait désormais sa fille (P. 231/2). Par ailleurs, dans un rapport de renseignements établi le 20 juillet 2017, le [...] mentionne que la victime semble peu à l’aise dans sa relation aux hommes et qu’elle demeure angoissée à l’idée d’une sortie de prison du recourant. De surcroît, dans un rapport du 18 septembre 2018, la psychologue de la victime a relevé qu’elle commençait à entrer en contact avec certains ressentis douloureux, qu’elle décrivait notamment des cauchemars et des flashbacks et qu’elle était angoissée à l’idée d’une remise en liberté du recourant ; B.Z.________ présentait en outre un état de stress-post-traumatique et son développement psychosexuel et affectif avait été irrémédiablement altéré, ce qui avait un effet délétère sur ses relations sociales au quotidien (P. 239). Enfin, comme cela avait été évoqué dans l’arrêt rendu le 29 décembre 2016, les témoignages des locataires ou occupants de la maison ne sont pas déterminants. Ceux-ci ont en effet pour l’essentiel indiqué n’avoir rien vu ou entendu. Or, il paraît évident que si A.Z.________ avait bel et bien commis les actes dénoncés, celui-ci aurait pris les précautions nécessaires afin que ses actes ne soient pas entendus. A cet égard, dans son audition du 20 septembre 2018, B.Z.________ a d’ailleurs indiqué que le recourant allumait toujours la télévision pendant les abus, selon elle, afin de couvrir les autres bruits (PV aud. 19, p. 4). Pour le reste, il y a lieu de se référer aux considérants figurant dans l’arrêt du 29 décembre 2016, qui gardent, encore aujourd’hui, toute leur pertinence. Partant, le moyen du recourant doit être rejeté.</w:t>
      </w:r>
    </w:p>
    <w:p>
      <w:r>
        <w:rPr>
          <w:b/>
        </w:rPr>
        <w:t>E. 4.1</w:t>
      </w:r>
    </w:p>
    <w:p>
      <w:r>
        <w:t>Le recourant conteste l’existence d’un risque de réitération. Il considère en substance que le rapport d’expertise ne serait pas éloquent sur ce point. Il fait valoir que les experts n’auraient posé aucun diagnostic psychiatrique, n’auraient relevé aucun élément indiquant une paraphilie et n’auraient, à aucun moment, indiqué que le risque de récidive était élevé.</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4.3</w:t>
      </w:r>
    </w:p>
    <w:p>
      <w:r>
        <w:t>En l’espèce, le recourant présente des traits de personnalité narcissiques et émotionnellement labile de type impulsifs. Les experts ont retenus que si les faits qui lui étaient reprochés étaient avérés, le risque de récidive était important. En l’occurrence, il existe en l’état de sérieux indices qu’A.Z.________ ait commis les faits qui lui sont reprochés. Ainsi, il convient de suivre l’avis des experts à cet égard. En outre, selon les déclarations de B.Z.________, le recourant a commis tout type d’abus sexuels sur elle, à réitérées reprises et sur une période de plusieurs années. Ainsi, il est fortement à craindre qu’en cas de remise en liberté, le recourant réitère ses agissement délictueux. Par ailleurs, les faits sont extrêmement graves et mettent en péril la sécurité publique, dans la mesure où ils sont dirigés contre l’intégrité physique et sexuelle d’une enfant ou d’une adolescente. Par conséquent, le risque de réitération est manifeste.</w:t>
      </w:r>
    </w:p>
    <w:p>
      <w:r>
        <w:rPr>
          <w:b/>
        </w:rPr>
        <w:t>E. 5.1</w:t>
      </w:r>
    </w:p>
    <w:p>
      <w:r>
        <w:t>Le recourant conteste l’existence d’un risque de fuite. Il fait valoir qu’il est titulaire d’un permis C, que ses amis, ainsi que son réseau professionnel et social, se trouvent en Suisse et qu’il n’a pas d’attaches en [...].</w:t>
      </w:r>
    </w:p>
    <w:p>
      <w:r>
        <w:rPr>
          <w:b/>
        </w:rPr>
        <w:t>E. 5.2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5.3</w:t>
      </w:r>
    </w:p>
    <w:p>
      <w:r>
        <w:t>En l’espèce, A.Z.________ est un ressortissant [...] né au [...]. Il a certes un permis C et soutient qu’il n’a pas d’attaches dans son pays d’origine. Cependant, dans un courrier adressé à son épouse, il a indiqué qu’il souhaitait s’y installer en cas de libération. De plus, il a déclaré que lorsqu’il serait libéré, il voulait recommencer sa vie à zéro (PV aud. 14) et, compte tenu de la présente procédure, il ne peut plus se prévaloir d’attaches familiales en Suisse. Enfin, en cas de condamnation pour les faits qui lui sont reprochés, le recourant s’expose à une peine privative de liberté très importante. Ainsi, compte tenu des éléments qui précèdent, il est fortement à craindre que s’il venait à être libéré, l’intéressé tente d’échapper aux poursuites pénales engagées contre lui, à son jugement et à l’éventuelle peine encourue en fuyant le pays ou en entrant dans la clandestinité. Le risque de fuite est donc concret.</w:t>
      </w:r>
    </w:p>
    <w:p>
      <w:r>
        <w:rPr>
          <w:b/>
        </w:rPr>
        <w:t>E. 6</w:t>
      </w:r>
    </w:p>
    <w:p>
      <w:r>
        <w:t>Le recourant proposes des mesures de substitution (art. 237 CPP), telles que l’interdiction de périmètre et de toutes prises de contacts avec la victime, ainsi que l’obligation de déposer ses pièces d’identité et de se rendre aux prochaines convocations. Or, ces mesures n’offrent pas de garanties suffisantes. D’une part, elles ne sont pas propres à empêcher le prévenu d’entrer dans la clandestinité, si bien qu’elles ne permettront pas d’assurer sa présence devant les autorités pénales. D’autre part, et compte tenu de la gravité des actes dont la réitération est redoutée, on ne saurait prendre le risque de libérer l’intéressé au profit de simples mesures d’interdiction, qui ne sont pas contraignantes. En outre, aucune autre mesure de substitution n’apparaît à ce stade envisageable.</w:t>
      </w:r>
    </w:p>
    <w:p>
      <w:r>
        <w:rPr>
          <w:b/>
        </w:rPr>
        <w:t>E. 7.1</w:t>
      </w:r>
    </w:p>
    <w:p>
      <w:r>
        <w:t>Le recourant invoque une violation du principe de la proportionnalité et une violation du principe de la célérité.</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Concrétisant le principe de la célérité consacré à l'art. 29 al. 1 Cst. (Constitution fédérale de la Confédération suisse du 18 avril 1999 ; RS 101),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1B_18/2017 du 3 février 2017 consid. 6).</w:t>
      </w:r>
    </w:p>
    <w:p>
      <w:r>
        <w:rPr>
          <w:b/>
        </w:rPr>
        <w:t>E. 7.3</w:t>
      </w:r>
    </w:p>
    <w:p>
      <w:r>
        <w:t>En l’espèce, A.Z.________ est incarcéré depuis le 14 novembre 2016. A la date de l’échéance de la présente prolongation, soit le 14 janvier 2019, il aura subi deux ans et deux mois de détention provisoire. Comme on l’a vu, les faits qui lui sont reprochés sont graves et semblent avoir été commis sur une longue période et à plusieurs reprises. En l’état, le recourant est prévenu, entre autres, d’actes d’ordre sexuel avec des enfants, de contrainte sexuelle et de tentative de viol, à savoir des infractions passibles de peines privatives de liberté de cinq ou dix ans au plus. En outre, le concours d’infractions devra être pris en compte par le juge du fond lors de la fixation de la peine à laquelle il s’expose. Dans ces conditions, force est d’admettre que la période de détention provisoire subie par le recourant n’est, pour le moment encore, pas très proche de la durée de la peine privative de liberté prévisible en cas de condamnation. Pour le reste, quand bien même l’enquête pénale dure maintenant depuis près de deux ans, l’instruction n’accuse à ce stade aucun retard injustifié. S’il est vrai que plusieurs magistrats se sont succédés dans cette affaire, que plusieurs auditions récapitulatives ont eu lieu et qu’un avis de prochaine clôture a été adressé aux parties le 1 er juin 2018, l’instruction pénale, qui aurait en principe dû être clôturée, puis le dossier renvoyé devant l’autorité de jugement rapidement, a été prolongée en raison des nouveaux faits dénoncés par B.Z.________ dans son audition du 20 septembre 2018. Suite à cela, la Procureure en charge du dossier a étendu l’enquête pénale et a dû agender une nouvelle audition du recourant. Il lui reste dès lors à examiner l’opportunité de mettre en œuvre des investigations complémentaires, à mettre à nouveau le dossier en prochaine clôture, puis à dresser un acte d’accusation. En tout état de cause, rien ne laisse penser que le Ministère public ne sera pas en mesure de conduire la procédure à son terme dans un délai raisonnable. De plus, on ne discerne aucun manquement particulièrement grave de sa part dans la conduite de l’instruction. Cela étant, la Procureure devra faire le nécessaire pour renvoyer A.Z.________ devant l’autorité de jugement – et donc demander la détention pour des motifs de sûreté de l’intéressé –, au plus tard, à l’échéance de la présente prolongation de la détention provisoire, soit le 14 janvier 2019. A défaut, la question d’une mise en liberté du recourant, assortie de mesures de substitution contraignantes, si tant est qu’elles soient compatibles avec la protection de la sécurité publique, devra être sérieusement examinée. Ainsi, en l’état, le principe de la proportionnalité demeure respecté.</w:t>
      </w:r>
    </w:p>
    <w:p>
      <w:r>
        <w:rPr>
          <w:b/>
        </w:rPr>
        <w:t>E. 8</w:t>
      </w:r>
    </w:p>
    <w:p>
      <w:r>
        <w:t>En définitive,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720 fr., plus la TVA par 55 fr. 45, soit à 775 fr. 45 au total, seront mis à la charge d’A.Z.________,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11 octobre 2018 est confirmée. III. L’indemnité allouée au défenseur d’office d’A.Z.________ est fixée à 775 fr. 45 (sept cent septante-cinq francs et quarante-cinq centimes). IV. Les frais d’arrêt, par 1’210 fr. (mille deux cent dix francs), ainsi que l’indemnité due au défenseur d’office d’A.Z.________, par 775 fr. 45 (sept cent septante-cinq francs et quarante-cinq centimes), sont mis à la charge de ce dernier. V. Le remboursement à l’Etat de l’indemnité allouée au chiffre III ci-dessus ne sera exigible que pour autant que la situation financière d’A.Z.________ le permette. VI. L’arrêt est exécutoire. Le président :               Le greffier : Du Le présent arrêt, dont la rédaction a été approuvée à huis clos, est notifié, par l'envoi d'une copie complète, à : - Me Anne-Rebecca Bula, avocate (pour A.Z.________), - Ministère public central, et communiqué à : - Mme la Présidente du Tribunal des mesures de contrainte, - Mme la Procureure de l’arrondissement de Lausanne, - Me Yves Cottagnoud, avocat (pour B.Z.________),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