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845 vom 22. Oktober 2018</w:t>
      </w:r>
    </w:p>
    <w:p>
      <w:r>
        <w:t>VD Tribunal cantonal, 2018-10-22, FR</w:t>
      </w:r>
    </w:p>
    <w:p>
      <w:r>
        <w:rPr>
          <w:b/>
        </w:rPr>
        <w:t xml:space="preserve">Quelle: </w:t>
      </w:r>
      <w:r>
        <w:t>https://mcp.opencaselaw.ch/entscheid/vd_findinfo_D_cision___2018___845</w:t>
      </w:r>
    </w:p>
    <w:p>
      <w:r>
        <w:t>FR: VD_FINDINFO Décision / 2018 / 845 du 22 octobre 2018</w:t>
      </w:r>
    </w:p>
    <w:p>
      <w:r>
        <w:t>IT: VD_FINDINFO Décision / 2018 / 845 del 22 ottobre 2018</w:t>
      </w:r>
    </w:p>
    <w:p>
      <w:pPr>
        <w:pStyle w:val="Heading2"/>
      </w:pPr>
      <w:r>
        <w:t>Regeste</w:t>
      </w:r>
    </w:p>
    <w:p>
      <w:r>
        <w:t>DÉFENSE D'OFFICE, MODIFICATION{EN GÉNÉRAL}, REJET DE LA DEMANDE, JUSTE MOTIF | 134 CP</w:t>
      </w:r>
    </w:p>
    <w:p>
      <w:pPr>
        <w:pStyle w:val="Heading2"/>
      </w:pPr>
      <w:r>
        <w:t>Erwägungen</w:t>
      </w:r>
    </w:p>
    <w:p>
      <w:r>
        <w:rPr>
          <w:b/>
        </w:rPr>
        <w:t>E. 1</w:t>
      </w:r>
    </w:p>
    <w:p>
      <w:r>
        <w:t>Interjeté en temps utile (art. 396 CPP) contre une ordonnance en matière de révocation et de remplacement du défenseur d'office (CREP 16 février 2018/127 ; Harari/Aliberti, in: Kuhn/Jeanneret [éd.], Commentaire romand, Code de procédure pénale suisse, Bâle 2011, n. 25 ad art. 134 CPP), par le prévenu, qui a qualité pour recourir (art. 382 CPP; Ruckstuhl, in: Niggli/Heer/Wiprächtiger [éd.], Basler Kommentar, Schweizerische Strafprozessordnung,Jugendstrafprozesordnung</w:t>
      </w:r>
    </w:p>
    <w:p>
      <w:r>
        <w:rPr>
          <w:b/>
        </w:rPr>
        <w:t>E. 2</w:t>
      </w:r>
    </w:p>
    <w:p>
      <w:r>
        <w:t>e éd., Bâle 2014, n. 5 ad art. 133 CPP et les réf. citées), le recours est recevable.</w:t>
      </w:r>
    </w:p>
    <w:p>
      <w:r>
        <w:rPr>
          <w:b/>
        </w:rPr>
        <w:t>E. 2.1</w:t>
      </w:r>
    </w:p>
    <w:p>
      <w:r>
        <w:t>Le recourant soutient que Me Amélie Giroud connaîtrait mal son dossier et explique qu’elle aurait commis des erreurs lors de leur dernier entretien, notamment en se trompant sur la durée de sa détention et sur la nature des charges pesant contre lui. Il reproche également à cette avocate de ne pas avoir déposé de demande de libération de la détention provisoire comme il le souhaitait. Il explique encore qu’il aurait mandaté Me Sylvie Saint-Marc et produit une procuration en ce sens (P. 54/2). Enfin, il précise qu’il préfère se rendre seul à l’audience de jugement plutôt que d’être défendu par son défenseur actuel.</w:t>
      </w:r>
    </w:p>
    <w:p>
      <w:r>
        <w:rPr>
          <w:b/>
        </w:rPr>
        <w:t>E. 2.2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 Ruckstuhl, op. cit., n. 8 ad art. 134 CPP).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du 21 décembre 2005, FF 2006 pp. 1057 ss, spéc. p. 1159). Toutefois,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Selon l’art. 12 let. a LLCA (Loi fédérale sur la libre circulation des avocats du 23 juin 2000 ; RS 935.61), l’avocat exerce sa profession avec soin et diligence. Pour s’acquitter pleinement de sa mission, l’avocat doit informer son client sur les risques de la procédure (ATF 138 IV 161 consid. 2.5.4 et les réf. citées) et le conseiller en conséquence. Partant, si le client adopte une stratégie contraire à ses intérêts, l’avocat doit pouvoir tenter, en lui exposant les conséquences possibles de sa stratégie en comparaison de celles de la stratégie recommandée par l’avocat, de le convaincre de changer d’avis et d’adopter la stratégie la plus opportune (Bohnet/Martenet, Droit de la profession d’avocat, Berne 2009, n. 1221 p. 520).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 par exemple qu’elle amène le défenseur d’office à déclarer qu’il croit son client coupable alors que celui-ci conteste l’infraction (cf. ATF 138 IV 161 précité) –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consid. 2.4 et la réf. citée) ou s’il n’entre pas dans le mandat confié à l’avocat. Il appartient au prévenu qui demande le remplacement de son défenseur d’office de rendre vraisemblable les faits sur lesquels il fonde sa demande (TF 6B_286/2013 du 14 octobre 2013 consid. 1.2).</w:t>
      </w:r>
    </w:p>
    <w:p>
      <w:r>
        <w:rPr>
          <w:b/>
        </w:rPr>
        <w:t>E. 2.3</w:t>
      </w:r>
    </w:p>
    <w:p>
      <w:r>
        <w:t>En l’occurrence, l’impression purement subjective de O.________ ne saurait suffire à admettre que la relation de confiance avec son défenseur d'office est gravement perturbée. Au surplus, aucun élément du dossier ne permet de mettre en cause le professionnalisme dudit défenseur, qui indique dans ses déterminations avoir de réguliers contacts avec son client. Enfin, le fait que Me Amélie Giroud n’ait pas effectué un acte de procédure que lui aurait réclamé le recourant n’est pas non plus suffisant pour entraîner un changement de défenseur d’office. Par surabondance, on indiquera encore que O.________ n’a émis aucune objection lors de sa première audition du 5 avril 2018 lors de laquelle il était assisté de Me Amélie Giroud, et n’a pas recouru contre l’ordonnance de désignation de son défenseur d’office du 12 avril 2018. Au vu de ce qui précède, il n’existe aucun motif qui justifierait de relever Me Amélie Giroud de son mandat de défenseur d’office.</w:t>
      </w:r>
    </w:p>
    <w:p>
      <w:r>
        <w:rPr>
          <w:b/>
        </w:rPr>
        <w:t>E. 3</w:t>
      </w:r>
    </w:p>
    <w:p>
      <w:r>
        <w:t>En définitive, le recours, manifestement mal fondé, doit être rejeté sans échange d'écritures (art. 390 al. 2 CPP) et le prononcé du 3 octobre 2018 confirmé.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3 octobre 2018 est confirmé. III. Les frais d’arrêt, par 660 fr. (six cent soixante francs), sont mis à la charge de O.________. IV. L’arrêt est exécutoire. Le président :               La greffière : Du Le présent arrêt, dont la rédaction a été approuvée à huis clos, est notifié, par l'envoi d'une copie complète, à : - Me Amélie Giroud, avocate (pour O.________), - Ministère public central, et communiqué à : ‑ Mme la Procureure cantonale Strada,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