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821 vom 11. Oktober 2018</w:t>
      </w:r>
    </w:p>
    <w:p>
      <w:r>
        <w:t>VD Tribunal cantonal, 2018-10-11, FR</w:t>
      </w:r>
    </w:p>
    <w:p>
      <w:r>
        <w:rPr>
          <w:b/>
        </w:rPr>
        <w:t xml:space="preserve">Quelle: </w:t>
      </w:r>
      <w:r>
        <w:t>https://mcp.opencaselaw.ch/entscheid/vd_findinfo_D_cision___2018___821</w:t>
      </w:r>
    </w:p>
    <w:p>
      <w:r>
        <w:t>FR: VD_FINDINFO Décision / 2018 / 821 du 11 octobre 2018</w:t>
      </w:r>
    </w:p>
    <w:p>
      <w:r>
        <w:t>IT: VD_FINDINFO Décision / 2018 / 821 del 11 ottobre 2018</w:t>
      </w:r>
    </w:p>
    <w:p>
      <w:pPr>
        <w:pStyle w:val="Heading2"/>
      </w:pPr>
      <w:r>
        <w:t>Regeste</w:t>
      </w:r>
    </w:p>
    <w:p>
      <w:r>
        <w:t>DÉCISION D'IRRECEVABILITÉ, PROCÉDURE PRÉPARATOIRE, EXPERTISE PSYCHIATRIQUE | 38 al. 1 LEP, 65 CPP (CH)</w:t>
      </w:r>
    </w:p>
    <w:p>
      <w:pPr>
        <w:pStyle w:val="Heading2"/>
      </w:pPr>
      <w:r>
        <w:t>Erwägungen</w:t>
      </w:r>
    </w:p>
    <w:p>
      <w:r>
        <w:rPr>
          <w:b/>
        </w:rPr>
        <w:t>E. 1</w:t>
      </w:r>
    </w:p>
    <w:p>
      <w:r>
        <w:t>En vertu de l'art. 38 al. 1 de la loi cantonale du 4 juillet 2006 sur l'exécution des condamnations pénales (LEP;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(art. 38 al. 2 LEP).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2.1</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Tel n'est pas le cas des décisions relatives à l'instruction de la décision à rendre sur le fond (JdT 2012 III 191 ; CREP 2 mai 2017/292 et les références citées).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(CREP 2 mai 2017/292 et les références citées).</w:t>
      </w:r>
    </w:p>
    <w:p>
      <w:r>
        <w:rPr>
          <w:b/>
        </w:rPr>
        <w:t>E. 2.2</w:t>
      </w:r>
    </w:p>
    <w:p>
      <w:r>
        <w:t>En l'occurrence, le mandat d'expertise psychiatrique donné par le Président du Collège des juges d'application des peines constitue une décision rendue dans le cadre de l'instruction. Le recourant pourra faire valoir ses griefs dans le cadre d'un recours contre la décision qui sera rendue par le Collège des juges d'application des peines sur la libération conditionnelle de son internement. Dès lors, la décision entreprise n'est pas de nature à lui causer un préjudice irréparable. La voie du recours immédiat n'est donc pas ouverte.</w:t>
      </w:r>
    </w:p>
    <w:p>
      <w:r>
        <w:rPr>
          <w:b/>
        </w:rPr>
        <w:t>E. 3</w:t>
      </w:r>
    </w:p>
    <w:p>
      <w:r>
        <w:t>En définitive, le recours doit être déclaré irrecevable, sans autre échange d’écritures (art. 390 al. 2 CPP). Compte tenu de ce que le mandat d'expertise entrepris mentionnait une voie de recours à la Chambre des recours pénale du Tribunal cantonal, les frais de la procédure de recours, constitués en l'espèce du seul émolument d'arrêt, par 660 fr. (art. 20 al. 1 TFIP [tarif des frais de procédure et indemnités en matière pénale du 28 septembre 2010; RSV 312.03.1]), seront laissés à la charge de l'Etat (cf. art. 423 al. 1 CPP).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Me Yaël Hayat, avocate (pour B.________), - Ministère public central, et communiqué à : - M. le Président du Collège des juges d'application des peines, - Dr C.________, - M. le Procureur du Ministère public central, division affaires spéciales, - Office d'exécution des peines (OEP/MES/128/AVI/SMS), - Etablissements de la plaine de l'Orbe,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