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817 vom 1. Oktober 2018</w:t>
      </w:r>
    </w:p>
    <w:p>
      <w:r>
        <w:t>VD Tribunal cantonal, 2018-10-01, FR</w:t>
      </w:r>
    </w:p>
    <w:p>
      <w:r>
        <w:rPr>
          <w:b/>
        </w:rPr>
        <w:t xml:space="preserve">Quelle: </w:t>
      </w:r>
      <w:r>
        <w:t>https://mcp.opencaselaw.ch/entscheid/vd_findinfo_D_cision___2018___817</w:t>
      </w:r>
    </w:p>
    <w:p>
      <w:r>
        <w:t>FR: VD_FINDINFO Décision / 2018 / 817 du 1 octobre 2018</w:t>
      </w:r>
    </w:p>
    <w:p>
      <w:r>
        <w:t>IT: VD_FINDINFO Décision / 2018 / 817 del 1 ottobre 2018</w:t>
      </w:r>
    </w:p>
    <w:p>
      <w:pPr>
        <w:pStyle w:val="Heading2"/>
      </w:pPr>
      <w:r>
        <w:t>Regeste</w:t>
      </w:r>
    </w:p>
    <w:p>
      <w:r>
        <w:t>PROCÉDURE PÉNALE DES MINEURS, CLASSEMENT DE LA PROCÉDURE, INCITATION AU SUICIDE | 115 CP, 319 CPP (CH), 39 PPMin</w:t>
      </w:r>
    </w:p>
    <w:p>
      <w:pPr>
        <w:pStyle w:val="Heading2"/>
      </w:pPr>
      <w:r>
        <w:t>Erwägungen</w:t>
      </w:r>
    </w:p>
    <w:p>
      <w:r>
        <w:rPr>
          <w:b/>
        </w:rPr>
        <w:t>E. 2</w:t>
      </w:r>
    </w:p>
    <w:p>
      <w:r>
        <w:t>e éd., 2013, n. 3 ad art. 115 CP).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(CAPE 6 juillet 2016/264 consid. 4.1.2 ; Dupuis et al., op. cit., n. 17 ad art. 115 CP et les auteurs cités).</w:t>
      </w:r>
    </w:p>
    <w:p>
      <w:r>
        <w:rPr>
          <w:b/>
        </w:rPr>
        <w:t>E. 2.3</w:t>
      </w:r>
    </w:p>
    <w:p>
      <w:r>
        <w:t>En l’espèce, le Juge des mineurs a retenu que V.________ avait confirmé être l’auteur des messages litigieux, de sorte que N.________ a été mis hors de cause. Cette appréciation ne prête pas le flanc à la critique et doit être confirmée. V.________ a précisé qu’il avait emprunté le téléphone de N.________ en lui disant que c’était « pour faire des blagues ». Celui-ci lui avait laissé écrire des messages à différentes personnes depuis son portable, sans se préoccuper de leur contenu, et ne les avait vus qu’après la découverte du corps de B.I.________ (P. 404, R. 23). A cela s’ajoute le fait qu’il est établi que B.I.________ et N.________ étaient de très bons amis. Aucun élément au dossier ne remet en cause le fait que tout allait bien entre eux. Dans ces circonstances, il est clair qu’on ne saurait reprocher à N.________ d’avoir incité son ami au suicide. C’est donc à juste titre que le Juge des mineurs a mis le prévenu au bénéfice d’un classement.</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 RSV 312.03.1]), seront mis à la charge du recourant, qui succombe (art. 428 al. 1 CPP ; art. 44 al. 2 PPMin). Par ces motifs, la Chambre des recours pénale prononce : I. Le recours est rejeté. II. L’ordonnance du 4 juin 2018 est confirmée. III. Les frais d'arrêt, par 550 fr. (cinq cent cinquante francs), sont mis à la charge du recourant. IV. L’arrêt est exécutoire. Le président :               La greffière : Du Le présent arrêt, dont la rédaction a été approuvée à huis clos, est notifié, par l'envoi d'une copie complète, à : - Me Inès Feldmann, avocate (pour A.I.________), - Me Nadia Calabria, avocate (pour N.________), - Ministère public central, et communiqué à : ‑ M. le Président du Tribunal des mineurs,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