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803 vom 2. Oktober 2018</w:t>
      </w:r>
    </w:p>
    <w:p>
      <w:r>
        <w:t>VD Tribunal cantonal, 2018-10-02, FR</w:t>
      </w:r>
    </w:p>
    <w:p>
      <w:r>
        <w:rPr>
          <w:b/>
        </w:rPr>
        <w:t xml:space="preserve">Quelle: </w:t>
      </w:r>
      <w:r>
        <w:t>https://mcp.opencaselaw.ch/entscheid/vd_findinfo_D_cision___2018___803</w:t>
      </w:r>
    </w:p>
    <w:p>
      <w:r>
        <w:t>FR: VD_FINDINFO Décision / 2018 / 803 du 2 octobre 2018</w:t>
      </w:r>
    </w:p>
    <w:p>
      <w:r>
        <w:t>IT: VD_FINDINFO Décision / 2018 / 803 del 2 ottobre 2018</w:t>
      </w:r>
    </w:p>
    <w:p>
      <w:pPr>
        <w:pStyle w:val="Heading2"/>
      </w:pPr>
      <w:r>
        <w:t>Regeste</w:t>
      </w:r>
    </w:p>
    <w:p>
      <w:r>
        <w:t>SÉQUESTRE{MESURE PROVISIONNELLE}, CONFISCATION{DROIT PÉNAL}, PROPORTIONNALITÉ, SOUPÇON | 71 al. 3 CP, 263 al. 1 let. d CPP (CH)</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Kuhn/Jeanneret [éd.], Commentaire romand, Code de procédure pénale suisse, Bâle 2011, n. 4 ad art. 267 CPP ; CREP 7 juin 2018/427 ; CREP 11 janvier 2017/21 et les réf. citées).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RSV 312.01)] ; art. 80 LOJV [Loi d'organisation judiciaire du 12 septembre 1979 ; RSV 173.01]).</w:t>
      </w:r>
    </w:p>
    <w:p>
      <w:r>
        <w:rPr>
          <w:b/>
        </w:rPr>
        <w:t>E. 1.2</w:t>
      </w:r>
    </w:p>
    <w:p>
      <w:r>
        <w:t>Le recours formé par S.________ est formellement dirigé contre l’ordonnance de séquestre n° 40514. Or, à lire les motifs et les conclusions prises par le recourant, force est de constater qu’il porte en réalité sur le séquestre du montant de 75'000 fr. en tant que tel, le recourant ne faisant valoir aucun moyen relatif au séquestre probatoire des enveloppes ayant contenu cette somme. Sous peine de formalisme excessif, il faut ainsi considérer que le recours est dirigé contre l’ordonnance de séquestre n° 40513, également rendue et notifiée, tout comme l’ordonnance n° 40514, le 11 septembre 2018. Interjeté en temps utile par le prévenu, qui a un intérêt juridique à l’annulation ou à la modification de l’ordonnance entreprise (art. 382 al. 1 CPP), et dans les formes prescrites (art. 385 al. 1 CPP), le recours est recevable.</w:t>
      </w:r>
    </w:p>
    <w:p>
      <w:r>
        <w:rPr>
          <w:b/>
        </w:rPr>
        <w:t>E. 2.1</w:t>
      </w:r>
    </w:p>
    <w:p>
      <w:r>
        <w:t>Le recourant fait dans un premier temps valoir que, comme pour le montant de 28'320 fr., le séquestre de la somme de 75'000 fr. ne pourrait en aucun cas se fonder sur le prétendu vol des bijoux ni se rapporter à la succession de feu F.L.________ de quelque manière que ce soit, puisqu’il n’existerait aucun lien de causalité entre cette somme et le vol des bijoux ou le testament. Ensuite, il soutient que le reproche d’infraction à l’aide sociale ne serait pas fondé, que la Procureure aurait dû instruire ce point avant de procéder au séquestre attaqué et qu’il était libre de ne pas donner d’explications sur l’origine de ses fonds, l’« Hôtel de police » n’étant pas un « confessionnal ». Il considère dès lors que le séquestre ordonné est disproportionné.</w:t>
      </w:r>
    </w:p>
    <w:p>
      <w:r>
        <w:rPr>
          <w:b/>
        </w:rPr>
        <w:t>E. 2.2.1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2.2.2</w:t>
      </w:r>
    </w:p>
    <w:p>
      <w:r>
        <w:t>Le séquestre en vue de confiscation (art. 263 al. 1 let. d CPP) est une mesure conservatoire provisoire, destinée à préserver les objets ou les valeurs que le juge du fond pourrait être amené à confisquer.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 CREP 7 juin 2018/427 consid. 2.2 ; CREP 1 er mars 2016/135 consid. 3.2.2).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 citées). Le CPP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w:t>
      </w:r>
    </w:p>
    <w:p>
      <w:r>
        <w:rPr>
          <w:b/>
        </w:rPr>
        <w:t>E. 2.2.3</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En outre, la mesure doit pouvoir être ordonnée rapidement (cf. art. 263 al. 2 CPP), ce qui exclut la résolution de questions juridiques complexes (voir les arrêts cités par Lembo/Julen Berthod, op. cit., n. 25 ad art. 263 CPP). Un séquestre est proportionné lorsqu’il porte sur des avoirs dont on peut admettre en particulier qu’ils pourront être vraisemblablement confisqués en application du droit pénal. Tant que l’instruction n’est pas achevée et que subsiste une probabilité de confiscation ou de créance compensatrice,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 er juillet 2016 consid. 3.1 et les arrêts cités) et un séquestre ne peut donc être levé que dans l’hypothèse où il est d’emblée manifeste et indubitable que les conditions matérielles d’une confiscation ne sont pas réalisées et ne pourront pas l’être (ATF 140 IV 133 consid. 4.2.1 ; ATF 139 IV 250 consid. 2.1). Les probabilités d’une confiscation, respectivement du prononcé d’une créance compensatrice, doivent cependant se renforcer au cours de l’instruction (ATF 122 IV 91 consid. 4 ; TF 1B_118/2018 du 5 juillet 2018 consid. 4.1 ; TF 1B_194/2018 du 28 mai 2018 consid. 4.3). Un séquestre peut apparaître disproportionné lorsque la procédure dans laquelle il s’inscrit s’éternise sans motifs suffisants (ATF 132 I 229 consid. 11.6) ; il faut en outre que la quotité de cette mesure reste en rapport avec le produit de l’infraction poursuivie (ATF 130 II 329 consid. 6 ; TF 1B_118/2018 du 5 juillet 2018 consid. 4.1).</w:t>
      </w:r>
    </w:p>
    <w:p>
      <w:r>
        <w:rPr>
          <w:b/>
        </w:rPr>
        <w:t>E. 2.3</w:t>
      </w:r>
    </w:p>
    <w:p>
      <w:r>
        <w:t>En l’espèce, on relèvera dans un premier temps que le Ministère public fonde principalement le séquestre ordonné sur l’infraction d’escroquerie à l’aide sociale reprochée au recourant, et en aucun cas sur le vol des bijoux de feu F.L.________. Il n’y a donc aucune conclusion à tirer des arguments développés par le recourant à cet égard. En soutenant que l’escroquerie à l’aide sociale qui lui est reprochée serait infondée, le recourant perd ensuite de vue qu’en début d’enquête, l’existence d’un soupçon concret de la commission d’une infraction, sans que le magistrat ait préalablement dû procéder à des investigations approfondies, est suffisant pour ordonner le séquestre. Or, en l’occurrence, il existe bel et bien des indices que la somme de 75'000 fr., ou en tout cas une partie de celle-ci, provienne d’une escroquerie à l’aide sociale, soit consiste plus précisément en des prestations indûment perçues du SPAS par le recourant. Cet indice est renforcé par le fait que jusqu’à présent, le recourant n’avait jamais parlé d’autres économies que le montant de 28'320 fr. saisi lors de la perquisition effectuée à son domicile, qui fait déjà l’objet d’un séquestre selon ordonnance du 18 juillet 2018 (PV aud. 1 R. 3 p. 2). A ce stade de l’enquête, les conditions permettant de retenir l’existence d’un cas de séquestre en vue de confiscation ou, subsidiairement, en vue du prononcé d’une créance compensatrice, sont indubitablement réalisées au regard de la jurisprudence citée plus haut. Le séquestre ordonné respecte en particulier le principe de la proportionnalité. La décision de la Procureure ne prête dès lors pas le flanc à la critique et les moyens du recourant doivent être rejetés.</w:t>
      </w:r>
    </w:p>
    <w:p>
      <w:r>
        <w:rPr>
          <w:b/>
        </w:rPr>
        <w:t>E. 2.4</w:t>
      </w:r>
    </w:p>
    <w:p>
      <w:r>
        <w:t>Au surplus, le recourant se plaint de ne pas avoir reçu d’informations, malgré plusieurs demandes, quant aux pièces et documents saisis dans les trois coffres bancaires qui lui appartiennent à la suite du séquestre et de la perquisition de ces derniers. Il déplore également ne pas avoir reçu en retour les clés de ces coffres et formule des griefs relatifs à la manière dont l’instruction est menée. En tant qu’ils ne concernent pas l’ordonnance attaquée, mais d’autres ordonnances de séquestre, dont celles du 10 juillet 2018 qui ont déjà fait l’objet d’un arrêt de la Cour de céans (CREP 3 septembre 2018/675), les moyens développés par S.________ et les conclusions y relatives sont irrecevables dans le cadre du présent recours.</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 RSV 312.03.1]), seront mis à la charge du recourant, qui succombe (art. 428 al. 1, 1 re phrase, CPP). Par ces motifs, la Chambre des recours pénale prononce : I. Le recours est rejeté. II. L’ordonnance du 11 septembre 2018 est confirmée. III. Les frais d’arrêt, par 1'100 fr. (mille cent francs), sont mis à la charge de S.________. IV. L’arrêt est exécutoire. Le président : La greffière : Du Le présent arrêt, dont la rédaction a été approuvée à huis clos, est notifié, par l'envoi d'une copie complète, à : - Me Alain-Valéry Poitry, avocat (pour S.________),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