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772 vom 13. September 2018</w:t>
      </w:r>
    </w:p>
    <w:p>
      <w:r>
        <w:t>VD Tribunal cantonal, 2018-09-13, FR</w:t>
      </w:r>
    </w:p>
    <w:p>
      <w:r>
        <w:rPr>
          <w:b/>
        </w:rPr>
        <w:t xml:space="preserve">Quelle: </w:t>
      </w:r>
      <w:r>
        <w:t>https://mcp.opencaselaw.ch/entscheid/vd_findinfo_D_cision___2018___772</w:t>
      </w:r>
    </w:p>
    <w:p>
      <w:r>
        <w:t>FR: VD_FINDINFO Décision / 2018 / 772 du 13 septembre 2018</w:t>
      </w:r>
    </w:p>
    <w:p>
      <w:r>
        <w:t>IT: VD_FINDINFO Décision / 2018 / 772 del 13 settembre 2018</w:t>
      </w:r>
    </w:p>
    <w:p>
      <w:pPr>
        <w:pStyle w:val="Heading2"/>
      </w:pPr>
      <w:r>
        <w:t>Regeste</w:t>
      </w:r>
    </w:p>
    <w:p>
      <w:r>
        <w:t>EXÉCUTION ANTICIPÉE DES PEINES ET DES MESURES, RISQUE DE COLLUSION, REJET DE LA DEMANDE | 236 al. 1 CPP (CH), 236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 Hug, in : Donatsch/ Hansjakob/Lieber [éd.], Kommentar zur Schweizerischen Straf-prozessordnung, 2 e éd., 2014, n. 17 ad art. 236 CPP ; CREP 13 mars 2018/196 ; CREP 31 mai 2017/360 ; CREP 24 octobre 2016/654).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2.1</w:t>
      </w:r>
    </w:p>
    <w:p>
      <w:r>
        <w:t>Contestant l'existence d’un risque de collusion, le recourant soutient que les conditions d'une exécution anticipée de peine seraient réalisées.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ainsi que, le cas échéant, de lui offrir de meilleures chances de resocialisation (ATF 133 I 270 consid. 3.2.1 ; ATF 126 I 172 consid. 3a ; ATF 143 IV 160 consid. 2.1).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et les références citées). Plus l'instruction se trouve à un stade avancé et les faits établis avec précision, plus les exigences relatives à la preuve de l'existence d'un risque de collusion sont élevées (ATF 137 IV 122 consid. 4.2 ; ATF 132 I 21 consid. 3.2.2 ; TF 1B_127/2017 du 20 avril 2017 ; TF 1B_449/2015 du 15 janvier 2016 consid. 2.3 ; TF 1B_742/2012 du 17 janvier 2013 consid. 2.2). 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 ATF 133 I 270 consid. 3.2.1).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œuvre (TF 1B_127/2017 du 20 avril 2017 consid. 2.1 ; TF 1B_449/2015 du 15 janvier 2016 consid. 2.3).</w:t>
      </w:r>
    </w:p>
    <w:p>
      <w:r>
        <w:rPr>
          <w:b/>
        </w:rPr>
        <w:t>E. 2.3</w:t>
      </w:r>
    </w:p>
    <w:p>
      <w:r>
        <w:t>En l’espèce, la procureure a adressé un avis de prochaine clôture au recourant le</w:t>
      </w:r>
    </w:p>
    <w:p>
      <w:r>
        <w:rPr>
          <w:b/>
        </w:rPr>
        <w:t>E. 6</w:t>
      </w:r>
    </w:p>
    <w:p>
      <w:r>
        <w:t>septembre 2018. Ce n’est pas la nécessité d’effectuer d’autres actes d’instruction avant le renvoi en jugement du prévenu que la procureure invoque pour refuser le passage en exécution anticipée de peine, mais le risque que le recourant cherche à contacter la partie plaignante C.________ pour faire pression sur elle avant les débats qui seront tenus par devant le Tribunal d’arrondissement de Lausanne. Cette motivation échappe à la critique. En effet, dès lors que le recourant conteste les graves accusations de viol portées contre lui par la partie plaignante, il est à craindre qu’il ne contacte un de ses amis en liberté afin d’inciter la partie plaignante à abandonner ses accusations lors des débats. A cet égard, il n’est pas déterminant que lui-même n’ait, selon la victime elle-même, pas pu échanger un seul mot avec elle le jour où les faits se seraient produits, en raison de l’incompréhension linguistique. Le recourant pourrait parfaitement contacter quelqu’un qui puisse faire pression sur elle en anglais, langue dans laquelle celle-ci a été entendue par la police, ou en allemand, langue que la partie plaignante parle également. Du reste, la situation n’est pas comparable à celle de l’arrêt TF 1B_186/2018 du 8 mai 2018, cité par le recourant, puisque, dans ladite affaire, l’auteur avait reconnu avoir tiré sur sa fille, alors qu’en l’espèce, le recourant conteste tout viol. Au demeurant, on ne voit pas qu’on puisse, en régime d’exécution anticipée de peine, interdire au recourant tout contact avec l’extérieur, de sorte que la requête ne pouvait qu’être rejetée. 3. Il résulte de ce qui précède que le recours, manifestement mal fondé, doit être rejeté sans échange d’écritures (art. 390 al. 2 CPP) et l’ordonnance du 27 août 2018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27 août 2018 est confirmée. III. L'indemnité allouée au défenseur d'office de L.________ est fixée à 583 fr. 20 (cinq cent huitante-trois francs et vingt centimes). IV. Les frais d'arrêt, par 880 fr. (huit cent huitante francs), ainsi que l'indemnité due au défenseur d'office de L.________, par 583 fr. 20 (cinq cent huitante-trois francs et vingt centimes), sont mis à la charge de ce dernier. V. Le remboursement à l'Etat de l'indemnité allouée au chiffre III ci-dessus sera exigible pour autant que la situation de L.________ le permette. VI. L’arrêt est exécutoire. Le président :               La greffière : Du Le présent arrêt, dont la rédaction a été approuvée à huis clos, est notifié, par l'envoi d'une copie complète, à : ‑ Me Raphaël Dessemontet, avocat (pour L.________), ‑ Ministère public central, et communiqué à : ‑ Mme la Procureure de l’arrondissement de Lausanne, ‑ Direction de la Prison de la Croisée, ‑ Office d’exécution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