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764 vom 14. Juni 2018</w:t>
      </w:r>
    </w:p>
    <w:p>
      <w:r>
        <w:t>VD Tribunal cantonal, 2018-06-14, FR</w:t>
      </w:r>
    </w:p>
    <w:p>
      <w:r>
        <w:rPr>
          <w:b/>
        </w:rPr>
        <w:t xml:space="preserve">Quelle: </w:t>
      </w:r>
      <w:r>
        <w:t>https://mcp.opencaselaw.ch/entscheid/vd_findinfo_D_cision___2018___764</w:t>
      </w:r>
    </w:p>
    <w:p>
      <w:r>
        <w:t>FR: VD_FINDINFO Décision / 2018 / 764 du 14 juin 2018</w:t>
      </w:r>
    </w:p>
    <w:p>
      <w:r>
        <w:t>IT: VD_FINDINFO Décision / 2018 / 764 del 14 giugno 2018</w:t>
      </w:r>
    </w:p>
    <w:p>
      <w:pPr>
        <w:pStyle w:val="Heading2"/>
      </w:pPr>
      <w:r>
        <w:t>Regeste</w:t>
      </w:r>
    </w:p>
    <w:p>
      <w:r>
        <w:t>MÉNAGE COMMUN, DÉCISION D'IRRECEVABILITÉ, PLAINTE PÉNALE | 110 CP, 120 CPP (CH), 121 al. 1 CPP (CH), 310 CPP (CH)</w:t>
      </w:r>
    </w:p>
    <w:p>
      <w:pPr>
        <w:pStyle w:val="Heading2"/>
      </w:pPr>
      <w:r>
        <w:t>Erwägungen</w:t>
      </w:r>
    </w:p>
    <w:p>
      <w:r>
        <w:rPr>
          <w:b/>
        </w:rPr>
        <w:t>E. 1</w:t>
      </w:r>
    </w:p>
    <w:p>
      <w:r>
        <w:t>CPP), auprès de l’autorité compétente, le recours est recevable, puisque, comme on le verra ci-après (cf. infra consid. 4.2), la recourante doit se voir reconnaître à ce stade la qualité de partie plaignante et donc la qualité pour recourir (art. 382 CPP).</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Interjeté en temps utile et dans les formes prescrites (art. 385 al.</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La recourante soutient que le raisonnement du Ministère public pour justifier la non-entrée en matière – consistant à retenir que le prévenu était un familier de J.________ – se baserait quasiment exclusivement sur des allégations contenues dans des courriers du conseil du prévenu, qu'elle avait produits en toute transparence. Or le Procureur aurait, sans la moindre vérification, pris pour acquises ces allégations, que la recourante conteste et qualifie de non prouvées et de peu crédibles.</w:t>
      </w:r>
    </w:p>
    <w:p>
      <w:r>
        <w:rPr>
          <w:b/>
        </w:rPr>
        <w:t>E. 3.1</w:t>
      </w:r>
    </w:p>
    <w:p>
      <w:r>
        <w:t>L'abus de confiance et la gestion déloyale commis au préjudice d'un familier ne sont poursuivis que sur plainte (art. 138 ch. 1 al. 4 et 158 ch. 3 CP [Code pénal suisse du 21 décembre 1937; RS 311.0]). Les familiers d'une personne sont ceux qui font ménage commun avec elle (art. 110 al. 2 CP). La notion de membres de la communauté domestique, comme celle de "proches", doit être interprétée restrictivement, compte tenu de l'intérêt de la société et de la justice à poursuivre l'auteur d'une infraction (ATF 140 IV 97 consid. 1.2; ATF 74 IV 88 consid. 2; ATF 72 IV 4 consid. 1; TF 6B_263/2011 du 26 juillet 2012 consid. 5.2; Jeanneret, Commentaire Romand, Code pénal I, Bâle 2009, n. 2 ad art. 110 al. 2 CP). Forment une communauté domestique deux ou plusieurs personnes qui mangent, vivent et dorment sous le même toit (ATF 140 IV 97 consid. 1.2; ATF 102 IV 162 consid. 2a). La cohabitation doit s'inscrire dans la durée et s'entend a priori comme le désir de vivre ensemble de manière stable pour une durée indéterminée (ATF 140 IV 97 consid. 1.2; TF 6B_637/2012 du 21 janvier 2013 consid. 2.1). L'interprétation restrictive de la notion de "familiers" implique non seulement une communauté de table, mais également une communauté de toit et de lit, comme il est d'usage entre les membres d'une famille; une telle communauté n’a ainsi pas été retenue dans un cas où les intéressés disposaient d'appartements situés l'un au-dessus de l'autre, même s’ils entretenaient une liaison, formaient un couple et se rendaient divers services (ATF 140 IV 97 consid. 1.5).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TF 6B_637/2012 du 21 janvier 2013 consid. 2.1; TF 6B_263/2011 du 26 juillet 2012 consid. 5.2 et 5.3). La forme privilégiée de l'infraction commise au préjudice de familiers est liée au souci de préserver le lien qui unit l'auteur au lésé (ATF 140 IV 97 consid. 1.2; ATF 72 IV 4 consid. 1; TF 6B_263/2011 du 26 juillet 2012 consid. 5.1). Elle vise à préserver l'unité familiale et la paix au sein du foyer en évitant une intervention d'office des autorités de poursuite pénale contre la volonté du titulaire du bien protégé (ATF 140 IV 97 consid. 1.2; ATF 86 IV 158; ATF 72 IV 4 consid. 1).</w:t>
      </w:r>
    </w:p>
    <w:p>
      <w:r>
        <w:rPr>
          <w:b/>
        </w:rPr>
        <w:t>E. 3.2</w:t>
      </w:r>
    </w:p>
    <w:p>
      <w:r>
        <w:t>En l’espèce, le Procureur a relevé qu’il ressortait des extraits du Registre cantonal des personnes et d’autres pièces au dossier que J.________ avait vécu chez L.________ durant neuf ans, incluant la période où les faits reprochés s’étaient produits. En outre, dans un courrier du défenseur du prévenu au conseil de la plaignante du 10 mars 2017, il était fait mention du fait que J.________ avait été accueilli puis hébergé par le prévenu, que ce dernier l’avait aidé, logé et assisté et que le défunt partageait la table et la nourriture de L.________, qui était disponible à tout moment du jour et de la nuit. Par ailleurs, le 22 août 2017, le conseil de la plaignante lui avait répondu qu’il souhaitait clarifier certains points, mais n’avait pas remis en question le fait que feu J.________ aurait logé chez le prévenu, pas davantage que dans la plainte. Il ressortait encore d’un courrier du défenseur du prévenu du 14 septembre 2017 que le défunt était nourri, logé et blanchi par le prévenu. Le Procureur en a ainsi déduit que L.________ était un familier de J.________ au sens de l’art. 110 al. 2 CP. En l’occurrence, à la lecture des pièces sur lesquelles s’est fondé le Ministère public, on constate que J.________ avait reçu des avis bancaires « C/O L.________ » à l'adresse [...] (P. 4/2/4) et qu’il avait indiqué cette adresse sur les procurations données à son neveu (cf. P. 4/2/2 et 3) ainsi que sur des correspondances à la banque (P. 4/2/6). Pour le reste, hormis le Registre cantonal des personnes, le Ministère public se réfère à des écrits du défenseur du prévenu, lesquels ne contiennent que des affirmations (P. 4/2/10 et 4/2/12) qui n’ont pas été admises par la recourante (cf. P. 4/1 ch. 17, p. 7), même implicitement. Dans son recours, V.________ allègue que durant la période allant de 2008 à 2012, J.________ avait plusieurs lieux de vie. Ainsi, il avait acheté un appartement en Roumanie depuis 2005 et il y aurait résidé régulièrement et de manière prolongée, notamment entre 2008 et 2012. Il aurait également possédé plusieurs investissements immobiliers en Californie par le biais de sa société [...], mais pour lesquels il aurait été taxé directement et individuellement aux Etats-Unis. Ces investissements lui auraient permis d’obtenir un visa d’investisseur dans ce pays, accompagné d'un droit de résidence. Il aurait ainsi résidé aux Etats-Unis de manière prolongée entre 2008 et 2012, période durant laquelle il aurait d'ailleurs disposé d’une carte de sécurité sociale. Il aurait alors notamment résidé en Californie, la plupart du temps chez des neveux. Il n’aurait ainsi pas résidé de manière stable et prolongée en Suisse, mais y aurait seulement fait halte quelques semaines pour passer du temps avec sa fille, sa petite-fille et son neveu. A ces occasions, il aurait logé dans un studio-appartement situé dans un immeuble appartenant au prévenu, qui aurait été totalement indépendant, disposant notamment d’une entrée extérieure propre, d’une cuisine agencée, d’un jardin extérieur privatif et de deux places de parking privatives. Au vu de ces éléments, dont une partie au moins est corroborée par des pièces déposées en annexe du recours (cf. notamment P. 8/2/1, 4 et 6), et compte tenu de la jurisprudence restrictive précitée, il n’était pas possible d’affirmer, sans instruction, que J.________ et L.________ faisaient ménage commun et étaient des familiers au sens de l’art. 110 al. 2 CP.</w:t>
      </w:r>
    </w:p>
    <w:p>
      <w:r>
        <w:rPr>
          <w:b/>
        </w:rPr>
        <w:t>E. 4.1</w:t>
      </w:r>
    </w:p>
    <w:p>
      <w:r>
        <w:t>Selon l’art. 30 al. 4 CP, si le lésé meurt sans avoir porté plainte ni avoir expressément renoncé à porter plainte, son droit passe à chacun de ses proches. Lorsque le lésé n’a ni déposé plainte ni renoncé expressément à porter plainte, l’art. 30 al. 4 CP permet à ses proches de porter plainte en relation avec des actes commis avant le décès (Dupuis et alii , Petit commentaire CP, 2 e éd., Bâle 2017, n. 18 ad art. 30 CP et les références citées). Aux termes de l'art. 121 al. 1 CPP, si le lésé décède sans avoir renoncé à ses droits de procédure, ceux-ci passent à ses proches au sens de l'art. 110 al. 1 CP dans l'ordre de succession (TF 1B_11/2017 du 26 avril 2017 consid. 2.1). En vertu de l’art. 120 al. 1 CPP, la renonciation doit être expresse et doit se faire oralement ou par écrit (cf. TF 1B_11/2017 du 26 avril 2017 consid. 2.1). Pour bénéficier des droits procéduraux conférés par l’art. 121 al. 1 CPP, la personne en cause doit, pour le moins, être un "proche" du défunt au sens de l'art. 110 al. 1 CP, soit son conjoint, son partenaire enregistré, ses parents en ligne directe, ses frères et sœurs germains, consanguins ou utérins ainsi que ses parents, frères et sœurs et enfants adoptifs.</w:t>
      </w:r>
    </w:p>
    <w:p>
      <w:r>
        <w:rPr>
          <w:b/>
        </w:rPr>
        <w:t>E. 4.2</w:t>
      </w:r>
    </w:p>
    <w:p>
      <w:r>
        <w:t>En l’espèce, il n’est pas contesté que J.________ avait la qualité de lésé en relation avec les infractions dénoncées. En outre, s’il n’a pas porté plainte avant son décès, il n’a pas non plus expressément renoncé à déposer plainte pénale contre le prévenu, une renonciation implicite n'étant pas suffisante. Cela étant, il n’est nullement établi à ce stade que les infractions dénoncées ne soient poursuivies que sur plainte, dès lors qu’il ne peut pas être retenu à ce stade, comme on vient de le voir (cf. supra , consid. 3.2), que le prénommé et le prévenu faisaient ménage commun et étaient donc des familiers au sens de l'art. 110 al. 2 CP, avec cette conséquence que l'abus de confiance et la gestion déloyale reprochés au prévenu auraient été commis au préjudice d'un familier et ne pourraient être poursuivis que sur plainte (art. 138 ch. 1 al. 4 et 158 ch. 3 CP). Pour le surplus, il est incontesté que si le défunt – lésé au sens de l'art. 115 CPP – n'a pas déposé plainte pénale préalablement à son décès, il n'a pas non plus renoncé à ses droits de procédure (art. 120 et 121 al. 1 CPP). Par conséquent, la plainte déposée par sa fille et exécutrice testamentaire apparaît recevable et doit faire l'objet d'une instruction.</w:t>
      </w:r>
    </w:p>
    <w:p>
      <w:r>
        <w:rPr>
          <w:b/>
        </w:rPr>
        <w:t>E. 5</w:t>
      </w:r>
    </w:p>
    <w:p>
      <w:r>
        <w:t>Il résulte de ce qui précède que le recours doit être admis, l’ordonnance du 24 avril 2018 annulée et le dossier de la cause renvoyé au Ministère public de l’arrondissement de l’Est vaudois pour qu’il ouvre une instruction pénale et instruise notamment la question de savoir si les infractions dénoncées ont été commises au préjudice d'un familier. Les frais de la procédure de recours, constitués en l'espèce du seul émolument d'arrêt, par 1’100 fr. (art. 422 al. 1 CPP et 20 al. 1 TFIP [Tarif des frais de procédure et indemnités en matière pénale du 28 septembre 2010; RSV 312.03.1]), seront laissés à la charge de l’Etat (art. 428 al. 4 CPP). La recourante, qui a procédé avec l’assistance d’un avocat de choix et qui a obtenu gain de cause, a droit à une pleine indemnité pour les dépenses occasionnées par la procédure de recours (art. 436 al. 3 CPP par analogie). Elle ne quantifie toutefois pas sa prétention. La Cour considère que le recours a justifié une activité totale de trois heures d’avocat breveté, au tarif horaire de 300 fr. (art. 26a al. 3 TFIP), soit 900 fr., débours inclus. Cette indemnité sera augmentée d’un montant de 69 fr. 30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y sont quant à eux soumis (CREP 19 mars 2015/91 consid. 3.1.2). C'est ainsi une indemnité totale de 969 fr. 30 qui sera allouée à V.________, à la charge de l’Etat. Par ces motifs, la Chambre des recours pénale prononce : I. Le recours est admis. II. L’ordonnance du 24 avril 2018 est annulée. III. Le dossier de la cause est renvoyé au Ministère public de l’arrondissement de l’Est vaudois pour qu’il procède dans le sens des considérants. IV. Les frais de la procédure de recours, par 1’100 fr. (mille cent francs), sont laissés à la charge de l’Etat. V. Une indemnité de 969 fr. 30 (neuf cent soixante-neuf francs et trente centimes) est allouée à V.________ pour la procédure de recours, à la charge de l’Etat. VI. L’arrêt est exécutoire. Le président :               Le greffier : Du Le présent arrêt, dont la rédaction a été approuvée à huis clos, est notifié, par l'envoi d'une copie complète, à : - Me Raphaël Reinhardt,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