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75 vom 31. Januar 2018</w:t>
      </w:r>
    </w:p>
    <w:p>
      <w:r>
        <w:t>VD Tribunal cantonal, 2018-01-31, FR</w:t>
      </w:r>
    </w:p>
    <w:p>
      <w:r>
        <w:rPr>
          <w:b/>
        </w:rPr>
        <w:t xml:space="preserve">Quelle: </w:t>
      </w:r>
      <w:r>
        <w:t>https://mcp.opencaselaw.ch/entscheid/vd_findinfo_D_cision___2018___75</w:t>
      </w:r>
    </w:p>
    <w:p>
      <w:r>
        <w:t>FR: VD_FINDINFO Décision / 2018 / 75 du 31 janvier 2018</w:t>
      </w:r>
    </w:p>
    <w:p>
      <w:r>
        <w:t>IT: VD_FINDINFO Décision / 2018 / 75 del 31 gennaio 2018</w:t>
      </w:r>
    </w:p>
    <w:p>
      <w:pPr>
        <w:pStyle w:val="Heading2"/>
      </w:pPr>
      <w:r>
        <w:t>Regeste</w:t>
      </w:r>
    </w:p>
    <w:p>
      <w:r>
        <w:t>RENVOI{DROIT DES ÉTRANGERS}, EXÉCUTABILITÉ, DÉTENTION AUX FINS D'EXPULSION | 76 al. 1 LEtr, 80 al. 6 let. a LEtr</w:t>
      </w:r>
    </w:p>
    <w:p>
      <w:pPr>
        <w:pStyle w:val="Heading2"/>
      </w:pPr>
      <w:r>
        <w:t>Erwägungen</w:t>
      </w:r>
    </w:p>
    <w:p>
      <w:r>
        <w:rPr>
          <w:b/>
        </w:rPr>
        <w:t>E. 1.1</w:t>
      </w:r>
    </w:p>
    <w:p>
      <w:r>
        <w:t>Le Tribunal des mesures de contrainte statue sur la légalité et l’adéquation de la détention administrative, conformément à l’art. 80 al. 2 LEtr (loi fédérale sur les étrangers du 16 décembre 2005; RS 142.20; art. 16a al. 1 LVLEtr [loi du 18 décembre 2007 d'application dans le canton de Vaud de la législation fédérale sur les étrangers; RSV 142.11]). Les décisions prononcées par le Tribunal des mesures de contrainte peuvent faire l’objet d’un recours auprès du Tribunal cantonal (30 al. 1 LVLEtr), soit la Chambre des recours pénale (art. 26 al. 1 ROTC [règlement organique du Tribunal cantonal du 13 novembre 2007; RSV 173.31.1]), dans les dix jours dès la notification de la décision attaquée. L’acte de recours est signé et sommairement motivé (art. 30 al. 2 LVLEtr).</w:t>
      </w:r>
    </w:p>
    <w:p>
      <w:r>
        <w:rPr>
          <w:b/>
        </w:rPr>
        <w:t>E. 1.2</w:t>
      </w:r>
    </w:p>
    <w:p>
      <w:r>
        <w:t>En l’espèce, déposé en temps utile par une personne placée en détention administrative, qui a un intérêt à la modification ou à l’annulation de l’ordonnance attaquée, le recours est recevable (art. 30 al. 2 LVLEtr).</w:t>
      </w:r>
    </w:p>
    <w:p>
      <w:r>
        <w:rPr>
          <w:b/>
        </w:rPr>
        <w:t>E. 2.1</w:t>
      </w:r>
    </w:p>
    <w:p>
      <w:r>
        <w:t>Selon l’art. 76 al. 1 LEtr, après notification d'une décision de première instance de renvoi ou d'expulsion au sens de la LEtr ou d’une décision de première instance d'expulsion au sens des art. 66a ou 66a bis CP ou 49a ou 49a bis CPM, l'autorité compétente peut, afin d'en assurer l'exécution, (let. b) mettre en détention la personne concernée notamment (ch. 1) pour les motifs cités à l'art. 75, al. 1, let. a, b, c, f, g ou h LEtr – à savoir notamment lorsque la personne a été condamnée pour crime (art. 75 al. 1 let. h LEtr) – ou (ch. 3) si des éléments concrets font craindre que la personne concernée entend se soustraire au renvoi ou à l'expulsion, en particulier parce qu'elle ne se soumet pas à son obligation de collaborer en vertu de l'art. 90 LEtr ou de l'art. 8, al. 1, let. a, ou al. 4, LAsi (Loi sur l’asile du 26 juin 1998; RS 142.31), ou encore (ch. 4) si son comportement permet de conclure qu'elle se refuse à obtempérer aux instructions des autorités. Ces deux chiffres (ch. 3 et ch. 4) décrivent des comportements permettant de conclure à l'existence d'un risque de fuite ou de disparition ( Untertauchensgefahr )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TF 2C_984/2010 du 20 janvier 2011 consid. 2; TF 2C_206/2009 du 29 avril 2009 consid. 4.1). Il faut qu'il existe des éléments concrets en ce sens (TF 2C_256/2013 du 10 avril 2013 consid. 4.2; TF 2C_142/2013 du 1 er mars 2013 consid. 4.2).</w:t>
      </w:r>
    </w:p>
    <w:p>
      <w:r>
        <w:rPr>
          <w:b/>
        </w:rPr>
        <w:t>E. 2.2</w:t>
      </w:r>
    </w:p>
    <w:p>
      <w:r>
        <w:t>Selon l’art. 80 al. 6 let. a LEtr, la détention est levée lorsque le motif de la détention n'existe plus ou l'exécution du renvoi ou de l'expulsion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(TF 2C_932/2017 du 27 novembre 2017 consid. 3.2; TF 2C_105/2016 du 8 mars 2016 consid. 6.2; TF 2C_951/2015 du 17 novembre 2015 consid. 3.1; TF 2C_490/2012 du 11 juin 2012 consid. 5.3.1 et les références citées). La détention est admissible lorsqu'une mesure de renvoi de première instance a été notifiée, sans qu’il ne soit nécessaire qu’elle soit entrée en force ou exécutoire (ATF 140 II 409 consid. 2.3.4; ATF 140 II 74 consid. 2.1; ATF 122 II 148 consid. 1). Il suffit que l’exécution puisse être assurée dès que la décision de renvoi entrera en force. Ainsi, si l'étranger en détention dépose une demande d'asile, cela empêchera l'exécution de l'ordre d'expulsion jusqu'à la fin de cette procédure, sans toutefois que cela ne lève nécessairement les conditions de la détention (ATF 140 II 409 consid. 2.3.4). Il ne faut toutefois pas perdre de vue que l'objet de la procédure porte sur la détention administrative en tant que telle et non pas en principe sur les questions relatives à l'asile ou au renvoi; les objections concernant ces domaines doivent être invoquées et examinées par les autorités compétentes lors des procédures ad hoc . Ce n'est que si une décision de renvoi apparaît manifestement inadmissible, soit arbitraire ou nulle que le juge peut lever la détention administrative pour ce motif, car l'exécution d'un tel ordre illicite ne doit pas être assurée par les mesures de contrainte (TF 2C_932/2017 précité consid. 3.2 et les références citées).</w:t>
      </w:r>
    </w:p>
    <w:p>
      <w:r>
        <w:rPr>
          <w:b/>
        </w:rPr>
        <w:t>E. 2.3</w:t>
      </w:r>
    </w:p>
    <w:p>
      <w:r>
        <w:t>En l’espèce, le recourant soutient qu’en raison de la décision de la CDAP octroyant l’effet suspensif à son recours contre la décision de renvoi, celle-ci ne serait pas exécutable, de sorte que la détention devrait être levée, ledit renvoi s’avérant impossible pour des raisons juridiques. Le recourant ne conteste pas, à juste titre, que les conditions matérielles de sa détention administrative, ou encore de son renvoi, soient réunies. A cet égard, il y a lieu de se référer aux motifs énoncés par le SPOP et le Tribunal des mesures de contrainte dans leurs décisions, observations et ordonnances respectives, soit en substance l’absence de titre de séjour valable, la mise en danger de la sécurité publique et le risque – avéré – de disparition dans la clandestinité. S’agissant ensuite des conditions relatives à la levée de la détention au sens de l’art. 80 al. 6 let. a LEtr, elles ne sont à l’évidence pas réunies. En effet, ensuite de l’arrêt rendu par la CDAP le 24 janvier 2018, déclarant le recours d’Q.________ contre la décision de renvoi du 10 mars 2017 irrecevable, il appert que son renvoi est parfaitement exécutable et il est du reste prévu. Cela étant, même si la CDAP n’avait pas statué avant la Cour de céans, le recours d’Q.________ aurait dû être rejeté, compte tenu de la jurisprudence fédérale développée au considérant qui précède.</w:t>
      </w:r>
    </w:p>
    <w:p>
      <w:r>
        <w:rPr>
          <w:b/>
        </w:rPr>
        <w:t>E. 3</w:t>
      </w:r>
    </w:p>
    <w:p>
      <w:r>
        <w:t>Il résulte de ce qui précède que le recours doit être rejeté et l'ordonnance du 3 janvier 2018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Matthieu Genillod a donc droit à une indemnité pour la procédure de recours, qui sera fixée à 360 fr., plus la TVA, par 27 fr. 70, ce qui porte le montant alloué à 387 fr. 70, à la charge de l’Etat. Le recourant est tenu de rembourser à l’Etat l’indemnité allouée à son conseil d’office pour autant que sa situation financière le permette (art. 135 al. 4 CPP, applicable par renvoi de l'art. 25 al. 1 LVLEtr). L’arrêt sera rendu sans frais judiciaires (art. 50 LPA-VD). Pour le surplus, vu le sort du recours, Q.________ n’a pas droit à l’indemnité pour détention illicite qu’il réclame. Par ces motifs, la Chambre des recours pénale prononce : I. Le recours est rejeté. II. L’ordonnance du 3 janvier 2018 est confirmée. III. L’indemnité allouée à Me Matthieu Genillod, conseil d’office d’Q.________, est fixée à 387 fr. 70 (trois cent huitante-sept francs et septante centimes), à la charge de l’Etat. IV. Le remboursement à l’Etat de l’indemnité allouée au chiffre III ci-dessus sera exigible pour autant que la situation financière du recourant le permette. V. L’arrêt, rendu sans frais, est exécutoire. Le président :               Le greffier : Du Le présent arrêt, dont la rédaction a été approuvée à huis clos, est notifié, par l'envoi d'une copie complète, à : - Me Matthieu Genillod, avocat (pour Q.________),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