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749 vom 18. September 2018</w:t>
      </w:r>
    </w:p>
    <w:p>
      <w:r>
        <w:t>VD Tribunal cantonal, 2018-09-18, FR</w:t>
      </w:r>
    </w:p>
    <w:p>
      <w:r>
        <w:rPr>
          <w:b/>
        </w:rPr>
        <w:t xml:space="preserve">Quelle: </w:t>
      </w:r>
      <w:r>
        <w:t>https://mcp.opencaselaw.ch/entscheid/vd_findinfo_D_cision___2018___749</w:t>
      </w:r>
    </w:p>
    <w:p>
      <w:r>
        <w:t>FR: VD_FINDINFO Décision / 2018 / 749 du 18 septembre 2018</w:t>
      </w:r>
    </w:p>
    <w:p>
      <w:r>
        <w:t>IT: VD_FINDINFO Décision / 2018 / 749 del 18 settembre 2018</w:t>
      </w:r>
    </w:p>
    <w:p>
      <w:pPr>
        <w:pStyle w:val="Heading2"/>
      </w:pPr>
      <w:r>
        <w:t>Regeste</w:t>
      </w:r>
    </w:p>
    <w:p>
      <w:r>
        <w:t>DÉTENTION PROVISOIRE, RISQUE DE FUITE, RISQUE DE RÉCIDIVE | 221 al. 1 let. a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prévenu qui a qualité pour recourir (art. 222 et 382 al. 1 CPP), et dans les formes prescrites (art. 385 al. 1 CPP), le recours de H.________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Dans son mémoire de recours, le recourant ne conteste pas l'existence de forts soupçons d'avoir commis un crime ou un délit, même si, lors de son audition par le Ministère public, il a prétendu que le permis de conduire n'était pas un faux. Si la conduite en état d'ébriété simple (c'est-à-dire non qualifiée) n'est réprimée que d'une amende (art. 91 al. 1 let. a LCR) et ne saurait ainsi justifier une détention provisoire, et s'il en va de même pour l'entrée en Suisse sans pièce de légitimation (art. 115 al. 1 let. a renvoyant à l'art. 5 al. 1 let. a LEtr), en revanche, réprimées notamment par des peines privatives de liberté de trois ans au plus, les infractions des art. 252 CP et 95 al. 1 let. a LCR reprochées au prévenu sont des délits (art. 10 al. 3 CP). La condition des soupçons sérieux d’avoir commis un crime ou un délit est donc réalisée.</w:t>
      </w:r>
    </w:p>
    <w:p>
      <w:r>
        <w:rPr>
          <w:b/>
        </w:rPr>
        <w:t>E. 2.3.1</w:t>
      </w:r>
    </w:p>
    <w:p>
      <w:r>
        <w:t>Le recourant conteste l’existence d'un risque de réitération. Il fait à cet égard valoir que, selon le Tribunal fédéral – en se référant à l'arrêt 1B_255/2015 du 12 août 2015 consid. 3.2 –, les infractions au code de la route comme la conduite sans permis ou sans responsabilité civile ne sont pas suffisamment graves au sens de l'art. 221 al. 1 let. c CPP.</w:t>
      </w:r>
    </w:p>
    <w:p>
      <w:r>
        <w:rPr>
          <w:b/>
        </w:rPr>
        <w:t>E. 2.3.2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En matière de circulation routière, s'agissant en particulier de la seconde condition de l'art. 221 al. 1 let. c CPP, à savoir celle que la sécurité d'autrui soit sérieusement compromise, tel n'est le cas que des infractions graves à la LCR. Il en va ainsi de la conduite en état d'ébriété telle que des risques d'accidents graves ont été à craindre (ATF 143 IV 9 consid. 2.7; TF 1B_435/2012 du 8 août 2012 consid. 3.9). A elle seule, la conduite sans permis de conduire ne suffit pas à constituer une menace sérieuse de la sécurité d'autrui; toutefois, lorsque s'y ajoutent d'autres circonstances, ce risque peut être retenu. Le Tribunal fédéral a considéré que quelqu'un conduisant sous retrait de permis à plusieurs reprises et qui avait échappé à un contrôle policier en s'enfuyant pouvait tomber sous le coup de l'art. 221 al. 1 let. c CPP parce que des doutes sérieux pouvaient exister sur sa capacité de conduire, et ce même s'il n'avait menacé aucun tiers (TF 1B_458/2016 du 19 décembre 2016 consid. 3.4 et les réf. cit.).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JdT 2017 IV 262).</w:t>
      </w:r>
    </w:p>
    <w:p>
      <w:r>
        <w:rPr>
          <w:b/>
        </w:rPr>
        <w:t>E. 2.3.3</w:t>
      </w:r>
    </w:p>
    <w:p>
      <w:r>
        <w:t>En l'espèce, le recourant a certes conduit à plusieurs reprises sans permis valable. Il n'est toutefois pas démontré que sa conduite comporterait un danger grave pour la vie ou l'intégrité corporelle d'autres personnes. Les circonstances supplémentaires exigées par la jurisprudence du Tribunal fédéral font de surcroît défaut. C'est ainsi à tort que le Tribunal des mesures de contrainte a retenu l'existence d'un risque de réitération au sens de l'art. 221 al. 1 let. c CPP, les délits dont la récidive est redoutée ne revêtant pas ici la gravité exigée. Sur ce point, le recours est donc bien fondé.</w:t>
      </w:r>
    </w:p>
    <w:p>
      <w:r>
        <w:rPr>
          <w:b/>
        </w:rPr>
        <w:t>E. 2.4.1</w:t>
      </w:r>
    </w:p>
    <w:p>
      <w:r>
        <w:t>Le recourant conteste l’existence d'un risque de fuite. Il fait valoir à cet égard qu'il serait revenu en Suisse auprès de sa famille alors qu'un acte d'accusation avait été rendu contre lui le 9 août 2018, dans le cadre duquel le Ministère public avait notamment requis une peine privative de liberté ferme de 10 mois.</w:t>
      </w:r>
    </w:p>
    <w:p>
      <w:r>
        <w:rPr>
          <w:b/>
        </w:rPr>
        <w:t>E. 2.4.2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2.4.3</w:t>
      </w:r>
    </w:p>
    <w:p>
      <w:r>
        <w:t>En l'espèce, le prévenu est sans profession, de nationalité belge, originaire de la République démocratique du Congo et domicilié en France, à [...]. Lors de son audition par le Tribunal des mesures de contrainte (cf. PV aud. du 29 août 2018, l. 31 ss), le prévenu a déclaré qu'il avait cinq enfants en Suisse avec sa compagne, qu'il passait quatre jours par semaine avec ses enfants en Suisse, qu'une procédure de mariage avec leur mère était entamée, avec laquelle il comptait se rendre au Cameroun le 15 octobre 2018 pour se marier, puis revenir en Suisse pour la cérémonie civile. Il est vrai que le recourant est revenu en Suisse après la rédaction de l'acte d'accusation, et à plusieurs reprises puisqu'il admet y passer quatre jours par semaine. Cela ne signifie toutefois pas qu'il comptait se rendre à l'audience du</w:t>
      </w:r>
    </w:p>
    <w:p>
      <w:r>
        <w:rPr>
          <w:b/>
        </w:rPr>
        <w:t>E. 5</w:t>
      </w:r>
    </w:p>
    <w:p>
      <w:r>
        <w:t>Il résulte de ce qui précède que le recours doit être rejeté sans autre échange d’écritures (art. 390 al. 2 CPP) et l’ordonnance du 29 août 2018 confirmée.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29 août 2018 est confirmée. III. L'indemnité allouée au défenseur d'office de H.________ est fixée à 581 fr. 60 (cinq cent huitante et un francs et soixante centimes). IV. Les frais d’arrêt, par 880 fr. (huit cent huitante francs), ainsi que l’indemnité due au défenseur d’office du recourant, par 581 fr. 60 (cinq cent huitante et un francs et soixante centimes), sont mis à la charge de ce dernier. V. Le remboursement à l’Etat de l’indemnité allouée au chiffre III ci-dessus sera exigible pour autant que la situation économique du recourant le permette. VI. L’arrêt est exécutoire. Le président :               Le greffier : Du Le présent arrêt, dont la rédaction a été approuvée à huis clos, est notifié, par l'envoi d'une copie complète, à : - Me Quentin Beausire, avocat (pour H.________), - Ministère public central, et communiqué à : - M. le Président du Tribunal des mesures de contrainte, - M. le Procureur de l’arrondissement de La Côte, - Service de la population,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