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730 vom 11. September 2018</w:t>
      </w:r>
    </w:p>
    <w:p>
      <w:r>
        <w:t>VD Tribunal cantonal, 2018-09-11, FR</w:t>
      </w:r>
    </w:p>
    <w:p>
      <w:r>
        <w:rPr>
          <w:b/>
        </w:rPr>
        <w:t xml:space="preserve">Quelle: </w:t>
      </w:r>
      <w:r>
        <w:t>https://mcp.opencaselaw.ch/entscheid/vd_findinfo_D_cision___2018___730</w:t>
      </w:r>
    </w:p>
    <w:p>
      <w:r>
        <w:t>FR: VD_FINDINFO Décision / 2018 / 730 du 11 septembre 2018</w:t>
      </w:r>
    </w:p>
    <w:p>
      <w:r>
        <w:t>IT: VD_FINDINFO Décision / 2018 / 730 del 11 settembre 2018</w:t>
      </w:r>
    </w:p>
    <w:p>
      <w:pPr>
        <w:pStyle w:val="Heading2"/>
      </w:pPr>
      <w:r>
        <w:t>Regeste</w:t>
      </w:r>
    </w:p>
    <w:p>
      <w:r>
        <w:t>CLASSEMENT DE LA PROCÉDURE, ADMISSION DE LA DEMANDE, IN DUBIO PRO DURIORE, MAXIME INQUISITOIRE, APPRÉCIATION DES PREUVES, VOIES DE FAIT, INJURE, MENACE{DROIT PÉNAL}, CONTRAINTE{DROIT PÉNAL}, CONTRAINTE SEXUELLE, VIOL, LÉSION CORPORELLE | 122 CP, 123 CP, 126 al. 2 CP, 177 CP, 180 al. 2 let. a CP, 181 CP, 189 al. 1 CP, 190 CP, 6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 RSV 312.01] ; art. 80 LOJV [Loi vaudoise d’organisation judiciaire du 12 décembre 1979 ; RSV 173.01]). En l'espèce, interjeté en temps utile devant l’autorité compétente, par la partie plaignante qui a qualité pour recourir (art. 382 al. 1 CPP), et satisfaisant aux conditions de forme prescrites (art. 385 al. 1 CPP), le recours est recevable.</w:t>
      </w:r>
    </w:p>
    <w:p>
      <w:r>
        <w:rPr>
          <w:b/>
        </w:rPr>
        <w:t>E. 2.1</w:t>
      </w:r>
    </w:p>
    <w:p>
      <w:r>
        <w:t>La recourante invoque une violation de son droit d’être entendue. Elle reproche à la Procureure d’avoir refusé de donner suite à ses réquisitions de preuves, en particulier à celle visant à l’audition de la doctoresse K.________, qui serait susceptible d’apporter des éléments concrets sur son état psychologique et sur les causes du stress post-traumatique constaté par ce médecin. Elle fait valoir que, en présence de faits qui se seraient déroulés à huis clos et d’une victime ne parlant pas le français et venant d’arriver en Suisse, on ne saurait la priver de la possibilité de faire entendre son thérapeute. A cet égard, la recourante met en avant la gravité du constat émanant de celui-ci, à savoir que les évènements de violence subis auraient été si traumatiques qu’il aurait été d’un point de vue médical d’abord nécessaire de la stabiliser sur le plan psychique avant même d’être en mesure de revenir sur lesdits traumatismes et d’entamer un processus de reconstruction. La recourante soutient également que le Ministère public aurait ignoré les pièces produites, en particulier les attestations délivrées par des professionnels des situations de violence conjugale et qu’il aurait violé le principe in dubio pro duriore .</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 e éd., Bâle 2016, nn. 4 et 8 ad art. 6 CPP et les références citées).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 RS 101) et par l'art. 3 al. 2 let. c CPP, confère notamment à toute personne le droit de s'expliquer avant qu'une décision ne soit prise à son détriment. Le droit d'être entendu confère aussi, entre autres facultés, celle d'obtenir qu'il soit donné suite à ses offres de preuve pertinentes, lorsque cela est de nature à influer sur la décision à rendre.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 ATF 136 I 229 consid. 5.3 ; Bénédict/Treccani, in : Kuhn/Jeanneret [éd.], Commentaire romand, Code de procédure pénale suisse, Bâle 2011, n. 23 ad art. 139 CPP).</w:t>
      </w:r>
    </w:p>
    <w:p>
      <w:r>
        <w:rPr>
          <w:b/>
        </w:rPr>
        <w:t>E. 2.3.1</w:t>
      </w:r>
    </w:p>
    <w:p>
      <w:r>
        <w:t>Selon l’art. 122 CP (Code pénal suisse du 21 décembre 1937 ; RS 311.0) dans sa teneur au 1 er janvier 2018,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L’alinéa 2 concerne toute diminution ou perte d’une faculté humaine subie par la victime, liée à des atteintes d’ordre physique ou psychique (TF 6B_675/2013 du 9 janvier 2014 consid. 3.2.1). L’atteinte doit être durable, voire permanente, ou son évolution difficilement prévisible, sans pour autant que la pathologie de la victime ne soit censée apparaître comme étant définitivement incurable (Dupuis et alii [éd.], Petit commentaire CP, 2 e éd., Bâle 2017, n. 13 ad art. 122 CP et les références citées). 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Cette disposition protège l'intégrité corporelle et la santé tant physique que psychique. Elle concerne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Par contre, une atteinte objectivement propre à générer une réelle souffrance psychique aux effets relativement durables et importants peut caractériser des lésions corporelles (ATF 134 IV 189 consid. 1.4). Le cas de figure type dans ce contexte se rapporte à la création d’un état dépressif (Corboz, Les infractions en droit suisse, 3 e éd., Berne 2010, n. 14 ad art. 123 CP ; Dupuis et alii, op. cit., n. 7 ad art. 123 CP). Aux termes de l’art. 123 ch. 2 al. 3 CP, la poursuite aura lieu d’office si l’auteur est le conjoint de la victime et que l’atteinte a été commise durant le mariage ou dans l’année qui a suivi le divorce.</w:t>
      </w:r>
    </w:p>
    <w:p>
      <w:r>
        <w:rPr>
          <w:b/>
        </w:rPr>
        <w:t>E. 2.3.2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Les cas aggravés prévus à l’art. 126 al. 2 CP concernent pour l’essentiel des hypothèses analogues à celles envisagées part. l’art. 123 ch. 2 al. 3 à 5 CP. La principale différence réside dans le fait que la poursuite d’office n’est prévue que lorsque les voies de fait sont perpétrées à réitérées reprises.</w:t>
      </w:r>
    </w:p>
    <w:p>
      <w:r>
        <w:rPr>
          <w:b/>
        </w:rPr>
        <w:t>E. 2.3.3</w:t>
      </w:r>
    </w:p>
    <w:p>
      <w:r>
        <w:t>Aux termes de l’art. 177 al. 1 CP, se rend coupable d’injure celui qui aura, par la parole, l’écriture, l’image, le geste ou par des voies de fait, attaqué autrui dans son honneur. L’injure suppose une atteinte à l’honneur protégé par le droit pénal. Cette disposition réprime tout acte qui, d’une autre manière que la diffamation et la calomnie, aura porté atteinte à l’honneur d’un tiers. Cette infraction réprime de ce fait trois formes d’atteinte à l’honneur, à savoir un jugement de valeur offensant, une injure formelle et un fait attentatoire à l’honneur allégué en s’adressant au lésé (Dupuis et alii, op. cit., n. 9 ad art. 177 CP). Il s’agit d’une infraction intentionnelle.</w:t>
      </w:r>
    </w:p>
    <w:p>
      <w:r>
        <w:rPr>
          <w:b/>
        </w:rPr>
        <w:t>E. 2.3.4</w:t>
      </w:r>
    </w:p>
    <w:p>
      <w:r>
        <w:t>L’art. 180 al. 1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6B_1009/2014 du 2 avril 2015 consid. 3.1). Afin de tenir compte du besoin particulier de protection du conjoint, l’art. 180 al. 2 let. a CP prévoit que la poursuite aura lieu d’office si l’auteur est le conjoint de la victime et que la menace a été commise durant le mariage ou dans l’année qui a suivi le divorce.</w:t>
      </w:r>
    </w:p>
    <w:p>
      <w:r>
        <w:rPr>
          <w:b/>
        </w:rPr>
        <w:t>E. 2.3.5</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w:t>
      </w:r>
    </w:p>
    <w:p>
      <w:r>
        <w:rPr>
          <w:b/>
        </w:rPr>
        <w:t>E. 2.3.6</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 violence désigne l'emploi volontaire de la force physique sur la personne de la victime dans le but de la faire céder (ATF 122 IV 97 précité).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6S.126/2007 du 7 juin 2007, consid. 6.2). Les pressions d'ordre psychique visent les cas où l'auteur provoque chez la victime des effets d'ordre psychique, tels que la surprise, la frayeur ou le sentiment d'une situation sans espoir, propres à la faire céder (ATF 128 IV 106 consid. 3a/bb ; ATF 122 IV 97 précité). L’infraction de contrainte sexuelle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op. cit., nn. 23-24 ad art. 189 CP et n. 11 ad art. 190 CP ; CAPE 13 janvier 2016/20 consid. 5.2). Si l'auteur pense à tort que la femme était consentante, il commet une erreur sur les faits et n'est pas punissable (ATF 87 IV 66 consid. 3).</w:t>
      </w:r>
    </w:p>
    <w:p>
      <w:r>
        <w:rPr>
          <w:b/>
        </w:rPr>
        <w:t>E. 2.3.7</w:t>
      </w:r>
    </w:p>
    <w:p>
      <w:r>
        <w:t>Aux termes de l'art. 190 CP, celui-ci qui, notamment en usant de menace ou de violence, en exerçant sur sa victime des pressions d'ordre psychique ou en la mettant hors d'état de résister, aura contraint une personne de sexe féminin à subir l'acte sexuel, sera puni d'une peine privative de liberté de un à dix ans (al. 1). Le crime réprimé par l'art. 190 CP est une infraction de violence, qui suppose, en règle générale, une agression physique. La violence désigne l'emploi volontaire de la force physique sur la personne de la victime dans le but de la faire céder (ATF 122 IV 97 consid. 2b ; TF 6B_267/2007 du 3 décembre 2007 consid. 6.3 ; TF 6S.688/1997 du 17 décembre 1997 consid. 2b, cité in : Wiprächtiger, Aktuelle Praxis des Bundesgerichtes zum Sexualstrafrecht, RPS 1999, pp. 121 ss, spéc. p. 133). Tout comme l’infraction de contrainte sexuelle,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op. cit., n. 11 ad art. 190 CP).</w:t>
      </w:r>
    </w:p>
    <w:p>
      <w:r>
        <w:rPr>
          <w:b/>
        </w:rPr>
        <w:t>E. 2.4</w:t>
      </w:r>
    </w:p>
    <w:p>
      <w:r>
        <w:t>En l’espèce, comme l’a relevé à juste titre la Procureure, on ne dispose d’aucun élément de preuve direct, les versions des parties sont contradictoires et les déclarations de la recourante ont un peu varié sur les détails. Toutefois, dans une affaire de ce genre, ces éléments ne sont pas déterminants si l’on dispose de certains indices concrets convergents. Or, cette condition est réalisée en l’espèce, car il paraît établi, d’une part, que la recourante a subi un grave traumatisme psychique (cf. rapport de la doctoresse K.________ du 15 janvier 2018) et, d’autre part, qu’elle était totalement sous l’emprise de son époux, les déclarations du témoin M.________ étant assez révélatrices à cet égard. Le constat médical de l’UMV du 2 septembre 2016 va également dans le sens du récit de la recourante et on ne saurait reprocher à celle-ci de manquer de clarté dans ses auditions au vu de son état psychique et des difficultés relevées par la police elle-même pour traduire ses déclarations en langue amharique. Le dossier révèle ainsi à ce stade suffisamment d’indices concrets allant à tout le moins dans le sens d’une maltraitance psychique, de sorte que l’instruction doit être poursuivie, l’audition de la doctoresse K.________ paraissant s’imposer pour les motifs pertinents exposés par la recourante. L’instruction n’étant pas complète et la commission des infractions envisagées ne pouvant être exclue, c’est à tort que le Ministère public a ordonné le classement de l’instruction dirigée contre le prévenu.</w:t>
      </w:r>
    </w:p>
    <w:p>
      <w:r>
        <w:rPr>
          <w:b/>
        </w:rPr>
        <w:t>E. 3</w:t>
      </w:r>
    </w:p>
    <w:p>
      <w:r>
        <w:t>En définitive, le recours formé par U.________ doit être admis et l’ordonnance de classement du 9 mars 2018, rectifiée par prononcé du 28 mars 2018, annulée. Le dossier est renvoyé au Ministère public de l’arrondissement du Nord vaudois pour qu’il poursuive l’instruction en procédant notamment à l’audition de la doctoresse K.________, puis clôture à nouveau son enquête selon l’art. 318 al. 1 CPP. Les frais de la procédure de recours, constitués en l'espèce de l’émolument d'arrêt, par 1’540 fr. (art. 20 al. 1 TFIP [Tarif des frais de procédure et indemnités en matière pénale du 28 septembre 2010 ; RSV 312.03.1]), des frais imputables à l’assistance du conseil juridique gratuit de U.________, fixés à 540 fr., plus la TVA par 41 fr. 60, soit un total de 581 fr. 60, et des frais imputables à la défense d’office de N.________, fixés à 180 fr., plus la TVA par 13 fr. 85, soit un total de 193 fr. 85 (art. 422 al. 1 et 2 let. a CPP), seront mis à la charge de l’intimé, qui succombe dès lors qu’il a conclu au rejet du recours (art. 428 al. 1 CPP). Le remboursement à l’Etat de l’indemnité allouée au défenseur d’office de N.________ ne sera toutefois exigible que pour autant que sa situation économique le permette (art. 135 al. 4 CPP). Par ces motifs, la Chambre des recours pénale prononce : I. Le recours est admis. II. L’ordonnance du 9 mars 2018, rectifiée partiellement le 28 mars 2018, est annulée. III. Le dossier de la cause est renvoyé au Ministère public de l’arrondissement du Nord vaudois pour qu’il procède dans le sens des considérants. IV. L’indemnité allouée au conseil juridique gratuit de U.________ est fixée à 581 fr. 60 (cinq cent huitante et un francs et soixante centimes). V. L’indemnité allouée au défenseur d’office de N.________ est fixée à 193 fr. 85 (cent nonante-trois francs et huitante-cinq centimes). VI. Les frais d’arrêt, par 1’540 fr. (mille cinq cent quarante francs), ainsi que les indemnités dues au conseil juridique gratuit de U.________, par 581 fr. 60 (cinq cent huitante et un francs et soixante centimes), et au défenseur d’office de N.________, par 193 fr. 85 (cent nonante-trois francs et huitante-cinq centimes), sont mis à la charge de ce dernier. VII. Le remboursement à l’Etat de l’indemnité allouée au chiffre V ci-dessus ne sera exigible que pour autant que la situation économique de N.________ le permette. VIII. L’arrêt est exécutoire. Le président :               La greffière : Du Le présent arrêt, dont la rédaction a été approuvée à huis clos, est notifié, par l'envoi d'une copie complète, à : - Me Marc-Henri Fragnière, avocat (pour U.________), - Me Loïc Parein, avocat (pour N.________),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