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703 vom 4. September 2018</w:t>
      </w:r>
    </w:p>
    <w:p>
      <w:r>
        <w:t>VD Tribunal cantonal, 2018-09-04, FR</w:t>
      </w:r>
    </w:p>
    <w:p>
      <w:r>
        <w:rPr>
          <w:b/>
        </w:rPr>
        <w:t xml:space="preserve">Quelle: </w:t>
      </w:r>
      <w:r>
        <w:t>https://mcp.opencaselaw.ch/entscheid/vd_findinfo_D_cision___2018___703</w:t>
      </w:r>
    </w:p>
    <w:p>
      <w:r>
        <w:t>FR: VD_FINDINFO Décision / 2018 / 703 du 4 septembre 2018</w:t>
      </w:r>
    </w:p>
    <w:p>
      <w:r>
        <w:t>IT: VD_FINDINFO Décision / 2018 / 703 del 4 settembre 2018</w:t>
      </w:r>
    </w:p>
    <w:p>
      <w:pPr>
        <w:pStyle w:val="Heading2"/>
      </w:pPr>
      <w:r>
        <w:t>Regeste</w:t>
      </w:r>
    </w:p>
    <w:p>
      <w:r>
        <w:t>DÉTENTION POUR DES MOTIFS DE SÛRETÉ, PROPORTIONNALITÉ, MESURE DE SUBSTITUTION À LA DÉTENTION, RISQUE DE FUITE, RISQUE DE RÉCIDIVE, DROIT D'ÊTRE ENTENDU, MOTIVATION DE LA DÉCISION | 29 al. 2 Cst., 212 al. 3 CPP (CH), 221 al. 1 let. a CPP (CH), 221 al. 1 let. c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prévenu qui a qualité pour recourir (art. 222 et 382 al. 1 CPP), et dans les formes prescrites (art. 385 al. 1 CPP), le recours de F.________ est recevable.</w:t>
      </w:r>
    </w:p>
    <w:p>
      <w:r>
        <w:rPr>
          <w:b/>
        </w:rPr>
        <w:t>E. 2</w:t>
      </w:r>
    </w:p>
    <w:p>
      <w:r>
        <w:t>Dans un premier grief d'ordre formel, le recourant invoque une violation de son droit d'être entendu, d'une part parce que le Tribunal des mesures de contrainte n'aurait pas pu, du moins sans l'interpeller préalablement, retenir un risque de réitération, qui n'était pas invoqué par le Tribunal correctionnel dans sa demande du 26 juillet 2018 et, d'autre part, parce que l'ordonnance serait insuffisamment motivée s'agissant du respect du principe de la proportionnalité.</w:t>
      </w:r>
    </w:p>
    <w:p>
      <w:r>
        <w:rPr>
          <w:b/>
        </w:rPr>
        <w:t>E. 2.1.1</w:t>
      </w:r>
    </w:p>
    <w:p>
      <w:r>
        <w:t>A teneur de l’art. 29 al. 1 Cst. (Constitution fédérale de la Confédération suisse du 18 avril 1999; RS 101), toute personne a droit, dans une procédure judiciaire ou administrative, à ce que sa cause soit traitée équitablement et jugée dans un délai raisonnable. Selon la jurisprudence, l'autorité qui ne traite pas un grief relevant de sa compétence, motivé de façon suffisante et pertinent pour l'issue du litige, commet un déni de justice formel proscrit par l'art. 29 al. 1 Cst. (ATF 135 I 6 consid. 2.1; ATF 134 I 229 consid. 2.3; TF 6B_868/2016 du 9 juin 2017 consid. 3.1).</w:t>
      </w:r>
    </w:p>
    <w:p>
      <w:r>
        <w:rPr>
          <w:b/>
        </w:rPr>
        <w:t>E. 2.1.2</w:t>
      </w:r>
    </w:p>
    <w:p>
      <w:r>
        <w:t>De même, la jurisprudence a déduit du droit d'être entendu de l'art. 29 al. 2 Cst. l'obligation pour l'autorité de motiver sa décision, afin que l'intéressé puisse se rendre compte de la portée de celle-ci et exercer son droit de recours à bon escient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La motivation peut d'ailleurs être implicite et résulter des différents considérants de la décision (ATF 141 V 557 consid. 3.2.1; TF 6B_868/2016 précité consid. 3.1).</w:t>
      </w:r>
    </w:p>
    <w:p>
      <w:r>
        <w:rPr>
          <w:b/>
        </w:rPr>
        <w:t>E. 2.1.3</w:t>
      </w:r>
    </w:p>
    <w:p>
      <w:r>
        <w:t>Le droit d'être entendu est une garantie constitutionnelle de caractère formel, dont la violation doit entraîner l'annulation de la décision, indépendamment des chances de succès du recours sur le fond (ATF 135 I 187 consid. 2.2;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ATF 133 I 201 consid. 2.2; TF 6B_868/2016 précité consid. 3.1).</w:t>
      </w:r>
    </w:p>
    <w:p>
      <w:r>
        <w:rPr>
          <w:b/>
        </w:rPr>
        <w:t>E. 2.2</w:t>
      </w:r>
    </w:p>
    <w:p>
      <w:r>
        <w:t>En l'espèce, c'est à tort que le recourant soutient que le Tribunal des mesures de contrainte ne pouvait pas retenir le risque de réitération, non invoqué par le Tribunal correctionnel dans sa requête de prolongation des mesures de substitution. En effet, très récemment, le Tribunal fédéral a précisé que l'interdiction de la reformatio in peius s'imposant au Tribunal de mesures de contrainte (cf., sur cette question, ATF 142 IV 29 consid. 3.4 et 3.5), et a fortiori à l'instance de recours, ne s'étendait qu'aux conclusions formulées devant ces autorités, ce qui n'empêchait en revanche pas la cour cantonale de confirmer le dispositif de la décision du Tribunal des mesures de contrainte en procédant par substitution de motifs; la garantie de la double instance n'empêchait pas non plus l'autorité de recours de procéder à sa propre appréciation des preuves disponibles au dossier, voire de les compléter le cas échéant (TF 1B_202/2018 du 15 mai 2018, consid. 2.1). En l'occurrence, les conclusions des parties tendaient à la prolongation des mesures de substitution, respectivement à leur levée. Pour le surplus, la question de la nature des risques invoqués relève de l'examen des conditions de l'art. 221 al. 1 CPP, que les autorités amenées à juger de la détention examinent sur la base du dossier. Le Tribunal des mesures de contrainte pouvait donc retenir le risque de réitération bien que non invoqué par la direction de la procédure. Seule se pose donc la question du respect du droit d'être entendu du recourant sur ce point. Or, en l'espèce, ce dernier ne saurait de bonne foi invoquer une violation de ce droit, pour plusieurs raisons. Premièrement, les risques de fuite et de réitération ont été retenus conjointement par le Tribunal des mesures de contrainte dans les huit ordonnances précédentes, ainsi que dans les deux arrêts rendus par la Cour de céans. Deuxièmement, ensuite de la demande de prolongation du 28 mars 2018, déjà uniquement fondée sur un risque de fuite, le Tribunal des mesures de contrainte, dans son ordonnance du 6 avril 2018, avait retenu le risque de réitération également. Troisièmement, ensuite de la demande de prolongation du 26 juillet 2018, le Ministère public s'est déterminé le 30 juillet suivant en précisant que F.________ présentait un risque de récidive en sus d'un risque de fuite, au vu de ses antécédents. Enfin, quatrièmement, cette dernière demande tendait à la prolongation en bloc des mesures de substitution précédemment ordonnées, dont la plupart visent à contenir un risque de réitération. Partant, on ne discerne aucune violation du droit d'être entendu du recourant sur ce point. Quoi qu'il en soit, même en admettant l’existence du vice formel invoqué, celui-ci serait guéri en procédure de recours, l'intéressé ayant eu la possibilité de s'exprimer et de recevoir une décision motivée de la Chambre des recours pénale, qui dispose d'un pouvoir d'examen complet en fait et en droit (art. 393 al. 2 CPP; CREP 10 août 2018/603 consid. 2.2 et les références citées).</w:t>
      </w:r>
    </w:p>
    <w:p>
      <w:r>
        <w:rPr>
          <w:b/>
        </w:rPr>
        <w:t>E. 2.3</w:t>
      </w:r>
    </w:p>
    <w:p>
      <w:r>
        <w:t>S'agissant du défaut de motivation invoqué, le Tribunal des mesures de contrainte a exposé qu'une prolongation de trois mois suffirait à appointer une audience d'ici à ce que le Tribunal cantonal statue dans l'autre cause pendante devant lui, et que la proportionnalité demeurait respectée au vu de la gravité des faits et de la peine susceptible d'être prononcée en cas de condamnation, dès lors que le prévenu se voyait imposer des mesures manifestement moins lourdes qu'une détention. On ne voit pas en quoi cette motivation serait insuffisante, le recourant ayant d'ailleurs été en mesure de la contester utilement dans le cadre de son recours. En tout état de cause, un tel vice serait également guéri dans le cadre de la présente procédure (cf. supra , consid. 2.2).</w:t>
      </w:r>
    </w:p>
    <w:p>
      <w:r>
        <w:rPr>
          <w:b/>
        </w:rPr>
        <w:t>E. 3</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Le recourant ne conteste à juste titre pas l'existence de forts soupçons de culpabilité, mais il conteste l'existence d'un risque de fuite.</w:t>
      </w:r>
    </w:p>
    <w:p>
      <w:r>
        <w:rPr>
          <w:b/>
        </w:rPr>
        <w:t>E. 3.1.1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Il est sans importance que l'extradition du prévenu puisse être obtenue (ATF 123 I 31 consid. 3d).</w:t>
      </w:r>
    </w:p>
    <w:p>
      <w:r>
        <w:rPr>
          <w:b/>
        </w:rPr>
        <w:t>E. 3.1.2</w:t>
      </w:r>
    </w:p>
    <w:p>
      <w:r>
        <w:t>En l'espèce, le recourant soutient qu'au vu de l'arrêt du Tribunal fédéral du 16 mai 2018, qui ne retient plus l'infraction d'omission de prêter secours, le genre et la quotité de la peine à laquelle il avait été condamné en octobre 2016 seront modifiées, ce qui serait susceptible d'influer sur la peine à laquelle il s'expose dans le cadre de la présente procédure. Le risque de fuite lié à la volonté de se soustraire à l'action pénale ferait donc défaut, étant rappelé que le recourant est de nationalité suisse, qu'il a toujours vécu et travaillé en Suisse et qu'il gère plusieurs sociétés seul. Il faut admettre, avec le recourant, que le risque de fuite paraît s'être sensiblement amoindri, de sorte qu'il ne se justifie plus, au regard du principe de la proportionnalité, de maintenir la confiscation de tous ses documents d'identité. Il convient dès lors de lever cette mesure et de lui restituer lesdits documents.</w:t>
      </w:r>
    </w:p>
    <w:p>
      <w:r>
        <w:rPr>
          <w:b/>
        </w:rPr>
        <w:t>E. 3.2</w:t>
      </w:r>
    </w:p>
    <w:p>
      <w:r>
        <w:t>Le recourant conteste aussi l'existence d'un risque de réitération.</w:t>
      </w:r>
    </w:p>
    <w:p>
      <w:r>
        <w:rPr>
          <w:b/>
        </w:rPr>
        <w:t>E. 3.2.1</w:t>
      </w:r>
    </w:p>
    <w:p>
      <w:r>
        <w:t>L'art. 221 al. 1 let. c CPP pose trois conditions pour admettre un risque de récidive. En premier lieu, le prévenu doit en principe déjà avoir commis des infractions du même genre (pour une exception à cette exigence, cf. ATF 137 IV 13 consid. 3 et 4 p. 18) et il doit s'agir de crimes ou de délits graves. Deuxièmement, la sécurité d'autrui doit être sérieusement compromise. Troisièmement, une réitération doit, sur la base d'un pronostic, être sérieusement à craindre.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 p. 14 ss; TF 1B_404/2017 du 18 octobre 2017 consid. 5,1; TF 1B_455/2016 du 9 décembre 2016 consid. 3.1).</w:t>
      </w:r>
    </w:p>
    <w:p>
      <w:r>
        <w:rPr>
          <w:b/>
        </w:rPr>
        <w:t>E. 3.2.2</w:t>
      </w:r>
    </w:p>
    <w:p>
      <w:r>
        <w:t>Dans son recours, sur le fond, le recourant n'explique pas en quoi le risque de réitération n'existerait plus. Cela étant, un tel risque est à l'évidence encore d'actualité, pour les motifs exposés par la Cour de céans dans son arrêt du 29 mars 2018 (résumés supra, sous let. A. c)) et auxquels il y a lieu de renvoyer, aucun élément nouveau n'étant venu modifier l'appréciation qui était faite à ce sujet à cette date. En particulier, entre autres circonstances, les antécédents et l'absence de prise de conscience généralisée de l'intéressé mettent sérieusement et concrètement la sécurité publique en danger. En définitive, les conditions de la détention pour des motifs de sûreté demeurent remplies et les mesures de substitution ordonnées précédemment seront maintenues, hormis la confiscation des documents d'identité du recourant, qui visait uniquement à limiter le risque de fuite.</w:t>
      </w:r>
    </w:p>
    <w:p>
      <w:r>
        <w:rPr>
          <w:b/>
        </w:rPr>
        <w:t>E. 3.3</w:t>
      </w:r>
    </w:p>
    <w:p>
      <w:r>
        <w:t>Le recourant se prévaut encore d'une violation du principe de la proportionnalité.</w:t>
      </w:r>
    </w:p>
    <w:p>
      <w:r>
        <w:rPr>
          <w:b/>
        </w:rPr>
        <w:t>E. 3.3.1</w:t>
      </w:r>
    </w:p>
    <w:p>
      <w:r>
        <w:t>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Les mesures de substitution ne sauraient sans autre être considérées comme des atteintes bénignes aux droits fondamentaux du prévenu : l'assignation à résidence constitue une certaine forme de détention, et l'obligation de travailler, de se soumettre à un traitement médical, voire un placement en institution représentent des atteintes considérables à la liberté personnelle. A l'instar de la détention provisoire ou pour des motifs de sûreté, les mesures de substitution doivent en tout temps demeurer proportionnées au but poursuivi, tant par leur nature que par leur durée (ATF 141 IV 190 consid. 3.3 et la jurisprudence citée). Lors de l’examen de la proportionnalité, il doit être tenu compte de l’ampleur de la restriction à la liberté personnelle du prévenu (ATF 140 IV 74 consid. 2, JdT 2014 IV 289). Par ailleurs, la levée de mesures de substitution en raison d’un retard dans la procédure n’entre en considération que si ce manquement est particulièrement grave et laisse apparaître que les autorités de poursuite pénale n’ont pas la volonté ou ne sont pas en mesure de conduire ou de clore la procédure avec la célérité voulue (ATF 140 IV 74 consid. 3, JdT 2014 IV 289). Par rapport à une détention provisoire, une plus grande retenue s’impose lors de la levée de mesures de substitution, plus crasse doit être le retard dans la procédure pour que leur levée se justifie (ATF 140 IV 74 consid. 3, JdT 2014 IV 289). En vertu de l’art. 212 al. 3 CPP, la détention provisoire et la détention pour des motifs de sûreté ne doivent pas durer plus longtemps que la peine privative de liberté prévisible. Selon la jurisprudence, si la durée de la détention se rapproche trop de celle de la peine privative de liberté à laquelle il faut s’attendre concrètement en cas de condamnation, le prévenu doit être libéré (ATF 139 IV 270 consid. 3.1 et les références citées, SJ 2014 I 180).</w:t>
      </w:r>
    </w:p>
    <w:p>
      <w:r>
        <w:rPr>
          <w:b/>
        </w:rPr>
        <w:t>E. 3.3.2</w:t>
      </w:r>
    </w:p>
    <w:p>
      <w:r>
        <w:t>En l’espèce, les mesures de substitution qui doivent être maintenues à l'encontre du recourant au vu du risque de réitération sont légères et constituent une contrainte bien moindre que la détention pour des motifs de sûreté, et ce d'autant plus qu'elles ne restreindront désormais plus sa liberté de mouvement. De surcroît, F.________ fait déjà l'objet d'une décision administrative lui interdisant d'être propriétaire ou de détenir des chiens de plus de 10 kg. Dans ces circonstances, la durée totale des mesures de substitution ordonnées par le Tribunal des mesures de contrainte à l’encontre de ce dernier demeure proportionnée, étant rappelé qu'une telle durée n'a pas à être comparée  à celle d'une détention provisoire, qui devrait ensuite être déduite de la peine par l’autorité de jugement selon l’art. 51 CP (Code pénal suisse du 21 décembre 1937 [RS 311.0]; cf. ATF 140 IV 74 consid 2.4, JdT 2014 IV 289). Enfin, force est de constater, s'agissant du principe de célérité, que la présente procédure ne souffre d'aucun retard, puisque comme l'a relevé le Tribunal des mesures de contrainte, la Cour d'appel pénale statuera rapidement dans le cadre de l'autre procédure, de sorte que la cause pourra être reprise et les débats fixés à échéance raisonnable. On ne décèle donc aucun retard pouvant justifier la levée des mesures de substitution.</w:t>
      </w:r>
    </w:p>
    <w:p>
      <w:r>
        <w:rPr>
          <w:b/>
        </w:rPr>
        <w:t>E. 4</w:t>
      </w:r>
    </w:p>
    <w:p>
      <w:r>
        <w:t>Au vu de ce qui précède, le recours doit être partiellement admis et l'ordonnance du 7 août 2018 réformée au chiffre II de son dispositif, en ce sens que la mesure de confiscation des documents d'identité de F.________ est levée, lesdits documents étant restitués à l'intéressé. L'ordonnance sera confirmée pour le surplus. Vu l’issue du recours, les frais de la procédure, constitués en l’espèce du seul émolument d’arrêt (art. 422 al. 1 CPP), par 1’540 fr. (art. 20 al. 1 TFIP [Tarif des frais de procédure et indemnités en matière pénale du 28 septembre 2010; RSV 312.03.1]), seront mis par moitié, soit par 770 fr., à la charge du recourant, qui succombe en partie (art. 428 al. 1 CPP), le solde étant laissé à la charge de l'Etat. Le recourant, qui obtient partiellement gain de cause et qui a procédé avec l’assistance d’un mandataire professionnel, a droit à une indemnité réduite de moitié pour les dépenses occasionnées par la procédure de recours (art. 429 al. 1 CPP applicable par renvoi de l’art. 436 al. 1 CPP), à la charge de l'Etat. C'est ainsi une indemnité de 403 fr. 90 qui sera allouée à F.________, soit la moitié d'une pleine indemnité correspondant à 2,5 heures d'activité au tarif horaire de 300 fr. (art. 26a TFIP) – un tarif horaire plus élevé ne se justifiant pas en raison de la nature la cause –, comprenant un montant de 28 fr. 90 correspondant à la TVA sur ledit montant (cf. CREP 19 mars 2015/91 consid. 3.1.2). Par ces motifs, la Chambre des recours pénale prononce : I. Le recours est partiellement admis. II. L'ordonnance du 7 août 2018 est réformée au chiffre II de son dispositif comme il suit : "II. Prolonge, en lieu et place de la détention pour des motifs de sûreté, les mesures de substitution à forme : - de la conservation, à titre de sûretés, du montant de CHF 30'000.- (trente mille francs) déjà en mains du Ministère public de l'arrondissement de l'Est vaudois; - de l'interdiction absolue de prendre contact sous quelque forme ou de quelque manière que ce soit avec J.________; - de l'interdiction absolue de détenir et/ou de posséder des chiens; - de l'interdiction absolue de promener le/les chien(s) détenu(s) ou propriété de V.________ ou de tiers; III. Les documents d'identité de F.________ en mains du Ministère public lui seront restitués dès que le présent arrêt sera définitif et exécutoire. IV. Les frais d'arrêt, par 1’540 fr. (mille cinq cent quarante francs), sont mis par moitié, soit 770 fr. (sept cent septante francs), à la charge de F.________, le solde étant laissé à la charge de l'Etat. V. Une indemnité de 403 fr. 90 (quatre cent trois francs et nonante centimes) est allouée à F.________ pour la procédure de recours, à la charge de l’Etat. VI. L’arrêt est exécutoire. Le président :               Le greffier : Du Le présent arrêt, dont la rédaction a été approuvée à huis clos, est notifié, par l'envoi d'une copie complète, à : - M. Fabien Mingard, avocat (pour F.________), - M. Pierre Ventura, avocat (pour J.________), - Ministère public central, et communiqué à : ‑ Mme la Présidente du Tribunal des mesures de contrainte, - Mme la Procureure de l'arrondissement de l'Est vaudois, - Mme la Présidente du Tribunal correctionnel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