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700 vom 31. Juli 2018</w:t>
      </w:r>
    </w:p>
    <w:p>
      <w:r>
        <w:t>VD Tribunal cantonal, 2018-07-31, FR</w:t>
      </w:r>
    </w:p>
    <w:p>
      <w:r>
        <w:rPr>
          <w:b/>
        </w:rPr>
        <w:t xml:space="preserve">Quelle: </w:t>
      </w:r>
      <w:r>
        <w:t>https://mcp.opencaselaw.ch/entscheid/vd_findinfo_D_cision___2018___700</w:t>
      </w:r>
    </w:p>
    <w:p>
      <w:r>
        <w:t>FR: VD_FINDINFO Décision / 2018 / 700 du 31 juillet 2018</w:t>
      </w:r>
    </w:p>
    <w:p>
      <w:r>
        <w:t>IT: VD_FINDINFO Décision / 2018 / 700 del 31 luglio 2018</w:t>
      </w:r>
    </w:p>
    <w:p>
      <w:pPr>
        <w:pStyle w:val="Heading2"/>
      </w:pPr>
      <w:r>
        <w:t>Regeste</w:t>
      </w:r>
    </w:p>
    <w:p>
      <w:r>
        <w:t>REJET DE LA DEMANDE, DOMICILE ÉLU, OPPOSITION TARDIVE, NOTIFICATION DE LA DÉCISION, ORDONNANCE PÉNALE | 87 al. 1 CPP (CH), 87 al. 3 CPP (CH)</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 e éd., Bâle 2014, n. 2 ad art. 356 CPP ; CREP 9 septembre 2016/605 ; CREP 24 avril 2017/266).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Interjeté en temps utile devant l’autorité compétente par la prévenue qui a qualité pour recourir (art. 382 al. 1 CPP) et dans les formes prescrites (art. 385 al. 1 CPP), le recours est recevable.</w:t>
      </w:r>
    </w:p>
    <w:p>
      <w:r>
        <w:rPr>
          <w:b/>
        </w:rPr>
        <w:t>E. 2.1</w:t>
      </w:r>
    </w:p>
    <w:p>
      <w:r>
        <w:t>La recourante, actuellement assistée par une autre avocate, soutient qu’elle n’aurait jamais reçu l’ordonnance pénale du 18 avril 2018 de la part de l’avocate J.________. Elle fait valoir que celle-ci ne l’aurait pas bien défendue et qu’elle aurait commis une faute grave en ne lui transmettant pas l’ordonnance en cause ou en ne vérifiant pas qu’elle l’avait bien reçue et en s’abstenant de lui demander si elle comptait y faire opposition.</w:t>
      </w:r>
    </w:p>
    <w:p>
      <w:r>
        <w:rPr>
          <w:b/>
        </w:rPr>
        <w:t>E. 2.2.1</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w:t>
      </w:r>
    </w:p>
    <w:p>
      <w:r>
        <w:rPr>
          <w:b/>
        </w:rPr>
        <w:t>E. 2.2.2</w:t>
      </w:r>
    </w:p>
    <w:p>
      <w:r>
        <w:t>Selon l’art. 85 al. 2 CPP, la notification se fait en principe par lettre signature ou par tout autre mode de communication impliquant un accusé de réception, notamment par l'entremise de la police. Aux termes de l’art. 87 al. 1 CPP, toute communication doit être notifiée au domicile, au lieu de résidence habituelle ou au siège du destinataire. Cette disposition n’empêche toutefois pas les parties de communiquer aux autorités pénales une adresse de notification autre que celles indiquées par cette disposition. Si elle le fait, elle a le droit à ce que les notifications se fassent à l’adresse communiquée (ATF 139 IV 228 consid. 1.1 et 1.2). L’art. 87 al. 3 CPP précise que si les parties sont pourvues d’un conseil juridique, les communications sont valablement notifiées à celui-ci. Selon la jurisprudence, lorsqu’une partie annonce aux autorités pénales se faire assister, pour défendre ses intérêts, d’un conseil juridique ayant son étude en Suisse, elle communique de la sorte une adresse de notification simple et sûre pour les autorités, à savoir celle de son conseil. Dès lors, il convient de considérer que l’art. 87 al. 3 CPP est d’ordre impératif. Partant, lorsqu’un conseil juridique a été institué, les communications doivent lui être notifiées, sous peine d’invalidité (ATF 144 IV 64 consid. 2.5 et les références citées ; TF 6B_644/2017 du 16 mai 2018 consid. 3.1).</w:t>
      </w:r>
    </w:p>
    <w:p>
      <w:r>
        <w:rPr>
          <w:b/>
        </w:rPr>
        <w:t>E. 2.3</w:t>
      </w:r>
    </w:p>
    <w:p>
      <w:r>
        <w:t>En l’espèce, l’avocate J.________ a informé le Procureur, le 4 janvier 2017, qu’elle était consultée par la recourante (P. 10/1) et a produit une procuration comportant élection de domicile signée par la recourante et datée du 27 décembre 2016 (P. 10/2). En application de la jurisprudence précitée, c’est donc à bon droit, et valablement, que l’ordonnance pénale a été notifiée à la recourante à l’adresse de son avocate. Le pli a du reste bien été réceptionné à cette adresse le 19 avril 2018. La recourante ne conteste au demeurant pas la validité de cette notification à son ancienne avocate.</w:t>
      </w:r>
    </w:p>
    <w:p>
      <w:r>
        <w:rPr>
          <w:b/>
        </w:rPr>
        <w:t>E. 3</w:t>
      </w:r>
    </w:p>
    <w:p>
      <w:r>
        <w:t>La recourante, invoquant l’art. 94 CPP et se référant à la jurisprudence du Tribunal fédéral (ATF 143 I 284), requiert la restitution du délai d’opposition.</w:t>
      </w:r>
    </w:p>
    <w:p>
      <w:r>
        <w:rPr>
          <w:b/>
        </w:rPr>
        <w:t>E. 3.1</w:t>
      </w:r>
    </w:p>
    <w:p>
      <w:r>
        <w:t>Selon l’art. 94 al. 1 CPP, une partie peut demander la restitution d’un délai si elle a été empêchée de l’observer et qu’elle est de ce fait exposée à un préjudice important et irréparable. Elle doit toutefois rendre vraisemblable que le défaut n’est imputable à aucune faute de sa part. Le Tribunal fédéral rappelle, à l’ATF 143 I 284, qu’en règle générale, un manquement de l’avocat ne constitue pas un empêchement non fautif justifiant une restitution du délai au sens de l’art. 94 CPP, car le manquement de l’avocat est imputable à son client (consid. 1) ; la jurisprudence réserve cependant les cas de défense obligatoire, dans lesquels le droit du prévenu à une défense pénale concrète et effective peut, dans des circonstances exceptionnelles, faire obstacle à cette imputation ; tel est le cas s’il y a un préjudice important et irréparable (consid. 2).</w:t>
      </w:r>
    </w:p>
    <w:p>
      <w:r>
        <w:rPr>
          <w:b/>
        </w:rPr>
        <w:t>E. 3.2</w:t>
      </w:r>
    </w:p>
    <w:p>
      <w:r>
        <w:t>En l’espèce, la recourante développe des moyens à l’encontre de la décision du Procureur refusant de lui accorder une restitution de délai. Or, la décision attaquée par le présent recours ne refuse pas une telle restitution de délai, mais déclare l’opposition irrecevable. C’est donc en vain que la recourante conclut que les conditions de l’art. 94 CPP seraient remplies. Il lui incombait en effet de soulever ce moyen dans le cadre d’un éventuel recours contre la décision lui refusant la restitution de délai, ce qu’elle n’a pas fait.</w:t>
      </w:r>
    </w:p>
    <w:p>
      <w:r>
        <w:rPr>
          <w:b/>
        </w:rPr>
        <w:t>E. 4</w:t>
      </w:r>
    </w:p>
    <w:p>
      <w:r>
        <w:t>En définitive, c’est à juste titre que le premier juge a constaté que  l’ordonnance litigieuse avait été valablement notifiée le 18 avril 2018 et, partant, que l’opposition formée le 25 juin 2018 était manifestement tardive et, comme telle, irrecevable. Il résulte de ce qui précède que le recours, manifestement mal fondé, doit être rejeté sans autre échange d’écritures (art. 390 al. 2 CPP) et le prononcé du 5 juillet 2018 confirmé. Les frais de la procédure de recours, constitués en l’espèce du seul émolument d'arrêt (art. 422 al. 1 CPP), par 660 fr. (art. 20 al. 1 TFIP [Tarif des frais de procédure et indemnités en matière pénale du 28 septembre 2010 ; RSV 312.03.1]), seront mis à la charge de la recourante, qui succombe (art. 428 al. 1 CPP). Par ces motifs, la Chambre des recours pénale prononce : I. Le recours est rejeté. II. Le prononcé du 5 juillet 2018 est confirmé. III. Les frais d’arrêt, par 660 fr. (six cent soixante francs), sont mis à la charge de la recourante. IV. L’arrêt est exécutoire. Le président :               La greffière : Du Le présent arrêt, dont la rédaction a été approuvée à huis clos, est notifié, par l'envoi d'une copie complète, à : - Me Mary Monnin-Zwahlen, avocate (pour D.________), - Ministère public central, et communiqué à : ‑ Mme la Présidente du Tribunal de police de l’arrondissement de l’Est vaudois,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