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692 vom 31. August 2018</w:t>
      </w:r>
    </w:p>
    <w:p>
      <w:r>
        <w:t>VD Tribunal cantonal, 2018-08-31, FR</w:t>
      </w:r>
    </w:p>
    <w:p>
      <w:r>
        <w:rPr>
          <w:b/>
        </w:rPr>
        <w:t xml:space="preserve">Quelle: </w:t>
      </w:r>
      <w:r>
        <w:t>https://mcp.opencaselaw.ch/entscheid/vd_findinfo_D_cision___2018___692</w:t>
      </w:r>
    </w:p>
    <w:p>
      <w:r>
        <w:t>FR: VD_FINDINFO Décision / 2018 / 692 du 31 août 2018</w:t>
      </w:r>
    </w:p>
    <w:p>
      <w:r>
        <w:t>IT: VD_FINDINFO Décision / 2018 / 692 del 31 agosto 2018</w:t>
      </w:r>
    </w:p>
    <w:p>
      <w:pPr>
        <w:pStyle w:val="Heading2"/>
      </w:pPr>
      <w:r>
        <w:t>Regeste</w:t>
      </w:r>
    </w:p>
    <w:p>
      <w:r>
        <w:t>DÉTENTION POUR DES MOTIFS DE SÛRETÉ, RISQUE DE FUITE | 221 al. 1 let. a CPP (CH), 229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3.1</w:t>
      </w:r>
    </w:p>
    <w:p>
      <w:r>
        <w:t>Le recourant ne conteste ni l’existence de soupçons suffisants de culpabilité, ni les risques de collusion et de réitération. Il conteste seulement le risque de fuite. Il soutient qu’il disposerait d’un logement en [...] où il a sa famille, si bien qu’il ne chercherait pas à se soustraire à la présente procédure et à sa convocation devant l’autorité de jugement. Il fait valoir qu’il ne pourrait pas vivre comme un hors-la-loi, car un tel statut l’empêcherait d’entrer en contact avec sa famille, de vivre auprès des siens et de reprendre une activité de chauffeur routier pour gagner sa vie, qui nécessite qu’il soit en mesure de traverser légalement les frontières.</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3.3</w:t>
      </w:r>
    </w:p>
    <w:p>
      <w:r>
        <w:t>En l’espèce, quoi qu’il en dise, le recourant présente un risque de fuite manifeste. Il est ressortissant du [...] et n’a aucun statut de séjour en Suisse. En outre, il n’a aucune attache avec ce pays, sa famille vivant en [...] ou au [...]. U.________ est renvoyé devant le Tribunal criminel pour avoir participé à un trafic de cocaïne portant sur des quantités de produits stupéfiants très importantes, de sorte que les faits qui lui sont reprochés sont extrêmement graves. Il encourt donc une lourde peine privative de liberté. Dans ces conditions, il est fortement à craindre qu’en cas de libération, le recourant se soustraie aux poursuites pénales engagées contre lui, à son jugement et à la peine à laquelle il s’expose en fuyant le pays ou en entrant dans la clandestinité. De surcroît, le fait qu’il réside en [...], où vit également une partie de sa famille, dont ses trois enfants, n’apparait de loin pas de nature à le contraindre à revenir en Suisse pour les débats, bien au contraire.</w:t>
      </w:r>
    </w:p>
    <w:p>
      <w:r>
        <w:rPr>
          <w:b/>
        </w:rPr>
        <w:t>E. 4</w:t>
      </w:r>
    </w:p>
    <w:p>
      <w:r>
        <w:t>Les motifs fondant la détention provisoire, respectivement la détention pour des motifs de sûreté étant alternatifs (TF 1B_249/2011 du 7 juin 2011 consid. 2.4), l’existence d’un risque de fuite dispense d’examiner si la détention s’impose également en raison des risques de collusion et de réitération.</w:t>
      </w:r>
    </w:p>
    <w:p>
      <w:r>
        <w:rPr>
          <w:b/>
        </w:rPr>
        <w:t>E. 5.1</w:t>
      </w:r>
    </w:p>
    <w:p>
      <w:r>
        <w:t>Le recourant propose des mesures de substitution en lieu et place de la détention provisoire. Il indique qu’il serait disposé à être équipé d’un bracelet électronique permettant de le localiser en tout temps et propose d’être astreint à se présenter quotidiennement à un poste de police et à déposer l’intégralité de ses documents d’identité et de séjour auprès de la justice.</w:t>
      </w:r>
    </w:p>
    <w:p>
      <w:r>
        <w:rPr>
          <w:b/>
        </w:rPr>
        <w:t>E. 5.2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5.3</w:t>
      </w:r>
    </w:p>
    <w:p>
      <w:r>
        <w:t>En l’espèce, le recourant a d’abord annoncé qu’il souhaitait, en cas de libération, se rendre en [...] pour retrouver sa famille et pour y travailler en qualité de chauffeur, si bien que les mesures de substitution proposées paraissent, pour ce motif déjà, difficilement envisageables. Par ailleurs, on relève qu’un contrôle par le biais d’un bracelet électronique ne permet pas de vérifier en direct les déplacements de la personne concernée. Ainsi, en cas de libération assortie de la surveillance proposée, l’intéressé demeurerait libre de ses mouvements et pourrait aisément entrer dans la clandestinité et se soustraire aux autorités pénales. En outre, cette mesure est incompatible avec la situation personnelle du recourant. En effet, celui-ci n’a ni statut de séjour ni domicile en Suisse. Quant aux autres mesures proposées, elles n’offrent pas non plus de garanties suffisantes pour contenir le risque de fuite. En effet, outre que de telles mesures ne permettent que de constater une fuite ou une entrée dans la clandestinité, mais non de la prévenir (cf. TF 1B_513/2012 du 2 octobre 2012 consid. 3.3), on relève que, selon la jurisprudence, il est aisé de se rendre dans les pays limitrophes sans document d'identité (cf. notamment TF 1B_145/2017 du 4 mai 2017 consid. 4.3). Ainsi, les mesures de substitution sollicitées par le recourant ne sauraient être ordonnées. Pour le reste, aucune autre mesure de substitution n’apparaît opportune.</w:t>
      </w:r>
    </w:p>
    <w:p>
      <w:r>
        <w:rPr>
          <w:b/>
        </w:rPr>
        <w:t>E. 6</w:t>
      </w:r>
    </w:p>
    <w:p>
      <w:r>
        <w:t>Au vu de la gravité des faits reprochés à U.________, qui est renvoyé devant l’autorité de jugement pour infraction grave à la LStup et blanchiment d’argent qualifié, et compte tenu de l’ampleur du trafic de stupéfiants dans lequel il est mis en cause, celui-ci s’expose concrètement à une peine privative de liberté nettement plus importante que la période de détention préventive qu’il aura subie le 26 novembre 2018. Partant, le principe de la proportionnalité est respecté (art. 212 al. 3 CPP). Au surplus, on relèvera que, dans la mesure où la détention pour des motifs de sûreté d’U.________ est conforme à loi, l’intéressé ne saurait se prévaloir d’une atteinte à ses droits constitutionnels pour ce motif.</w:t>
      </w:r>
    </w:p>
    <w:p>
      <w:r>
        <w:rPr>
          <w:b/>
        </w:rPr>
        <w:t>E. 7</w:t>
      </w:r>
    </w:p>
    <w:p>
      <w:r>
        <w:t>En définitive, le recours, manifestement mal fondé, doit être rejeté sans échange d’écritures (art. 390 al. 2 CPP) et l’ordonnance attaquée confirmée. Les frais de la procédure de recours, constitués en l’espèce de l’émolument d'arrêt, par 770 fr. (art. 20 al. 1 TFIP [Tarif des frais de procédure et indemnités en matière pénale du 28 septembre 2010 ; RSV 312.03.1]), et des frais imputables à la défense d’office (art. 422 al. 1 et 2 let. a CPP), fixés à 360 fr., plus la TVA par 27 fr. 70, soit à 387 fr. 70 au total, seront mis à la charge d’U.________,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14 août 2018 est confirmée. III. L’indemnité allouée au défenseur d’office d’U.________ est fixée à 387 fr. 70 (trois cent huitante-sept francs et septante centimes). IV. Les frais d’arrêt, par 770 fr. (sept cent septante francs), ainsi que l’indemnité due au défenseur d’office d’U.________, par 387 fr. 70 (trois cent huitante-sept francs et septante centimes), sont mis à la charge de ce dernier. V. Le remboursement à l’Etat de l’indemnité allouée au chiffre III ci-dessus ne sera exigible que pour autant que la situation financière d’U.________ le permette. VI. L’arrêt est exécutoire. Le président :               Le greffier : Du Le présent arrêt, dont la rédaction a été approuvée à huis clos, est notifié, par l'envoi d'une copie complète, à : - Me Inès Feldmann, avocate (pour U.________), - Ministère public central, et communiqué à : - M. le Président du Tribunal des mesures de contrainte, - Mme la Procureure cantonale Strada, - M. le Président du Tribunal criminel de l’arrondissement de la Broye et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