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688 vom 23. August 2018</w:t>
      </w:r>
    </w:p>
    <w:p>
      <w:r>
        <w:t>VD Tribunal cantonal, 2018-08-23, FR</w:t>
      </w:r>
    </w:p>
    <w:p>
      <w:r>
        <w:rPr>
          <w:b/>
        </w:rPr>
        <w:t xml:space="preserve">Quelle: </w:t>
      </w:r>
      <w:r>
        <w:t>https://mcp.opencaselaw.ch/entscheid/vd_findinfo_D_cision___2018___688</w:t>
      </w:r>
    </w:p>
    <w:p>
      <w:r>
        <w:t>FR: VD_FINDINFO Décision / 2018 / 688 du 23 août 2018</w:t>
      </w:r>
    </w:p>
    <w:p>
      <w:r>
        <w:t>IT: VD_FINDINFO Décision / 2018 / 688 del 23 agosto 2018</w:t>
      </w:r>
    </w:p>
    <w:p>
      <w:pPr>
        <w:pStyle w:val="Heading2"/>
      </w:pPr>
      <w:r>
        <w:t>Regeste</w:t>
      </w:r>
    </w:p>
    <w:p>
      <w:r>
        <w:t>VIOLATION DES RÈGLES DE L'ART DE CONSTRUIRE, CLASSEMENT DE LA PROCÉDURE, NÉGLIGENCE, LÉSION CORPORELLE GRAVE, POSITION DE GARANT, OMISSION | 11 CP, 12 al. 3 CP, 125 CP, 229 CP, 319 al. 1 CPP (CH)</w:t>
      </w:r>
    </w:p>
    <w:p>
      <w:pPr>
        <w:pStyle w:val="Heading2"/>
      </w:pPr>
      <w:r>
        <w:t>Erwägungen</w:t>
      </w:r>
    </w:p>
    <w:p>
      <w:r>
        <w:rPr>
          <w:b/>
        </w:rPr>
        <w:t>E. 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partie plaignante qui a la qualité pour recourir (art. 382 al. 1 CPP), et satisfaisant en outre aux conditions de forme prescrites (art. 385 al. 1 CPP), le recours est recevable.</w:t>
      </w:r>
    </w:p>
    <w:p>
      <w:r>
        <w:rPr>
          <w:b/>
        </w:rPr>
        <w:t>E. 2</w:t>
      </w:r>
    </w:p>
    <w:p>
      <w:r>
        <w:t>Selon l’art. 319 al. 1 CPP, le ministère public ordonne le classement de tout ou partie de la procédure notamment lorsqu’aucun soupçon justifiant une mise en accusation n’est établi (let. a) –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 ou lorsque les éléments constitutifs d’une infraction ne sont pas réunis (let. b) –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juillet 2018/511 consid. 2.2.1 et les réf. citées).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4.1.1 ; ATF 138 IV 186 consid. 4.1 ; TF 6B_1177/2017 du 16 avril 2018 consid. 2.1).</w:t>
      </w:r>
    </w:p>
    <w:p>
      <w:r>
        <w:rPr>
          <w:b/>
        </w:rPr>
        <w:t>E. 3.1</w:t>
      </w:r>
    </w:p>
    <w:p>
      <w:r>
        <w:t>R.________ fait valoir deux moyens à l’appui de son recours, étant précisé qu’il ne conteste le classement qu’à l’égard de J.________ et non d’O.________. Premièrement, il reproche au Procureur d’avoir refusé de le réentendre ainsi que d’entendre à nouveau le prévenu J.________, le maître d’ouvrage F.________ et l’ingénieur V.________ au sujet d’un événement survenu plusieurs jours avant les faits litigieux lors duquel le contremaître M.________ aurait dû sauter du dumper de peur que le véhicule ne bascule, et aurait ainsi lui-même évité un grave accident. Le recourant relève que lorsqu’il a été entendu le 15 mars 2017, il avait évoqué cet incident, mais sans préciser que J.________ était alors présent, complément qu’il souhaite ajouter à ce stade. Cette précision serait selon lui pertinente dans le sens où « [l]a présence de J.________ lorsque M.________ a dû sauter du dumper afin d’éviter lui-même un accident implique que J.________, en qualité de chef de chantier, devait prendre les dispositions adéquates pour éviter l’accident qui s’est finalement produit avec le dumper (…) » (recours, p. 3).</w:t>
      </w:r>
    </w:p>
    <w:p>
      <w:r>
        <w:rPr>
          <w:b/>
        </w:rPr>
        <w:t>E. 3.2.1</w:t>
      </w:r>
    </w:p>
    <w:p>
      <w:r>
        <w:t>L’art. 125 CP (Code pénal suisse du 21 décembre 1937 ; RS 311.0) réprime le comportement de celui qui, par négligence, aura fait subir à une personne une atteinte à l’intégrité corporelle ou à la santé. L’art. 229 al. 2 CP punit celui qui, par négligence, aura enfreint les règles de l’art en dirigeant ou en exécutant une construction ou une démolition et aura par là mis en danger la vie ou l’intégrité corporelle des personnes.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D’après la jurisprudence, deux conditions doivent être remplies pour qu’il y ait négligence : une violation des règles de la prudence et une faute. Un comportement viole le devoir de prudence s’il apparaît qu’au moment des faits, son auteur aurait dû, compte tenu de ses connaissances et de ses capacités, se rendre compte de la mise en danger d’autrui (ATF 136 IV 76 consid. 2.3.1 ; TF 6B_1063/2013 du 2 septembre 2014 consid. 3.2). Il faut se demander si une personne raisonnable placée dans la même situation et avec les mêmes aptitudes que l’auteur aurait pu prévoir, dans les grandes lignes, le déroulement des événements et, le cas échéant, quelles mesures elle pouvait prendre pour éviter la survenance de l’événement dommageable. Si des prescriptions légales ou administratives ont été édictées dans un but de prévention des accidents, ou si des règles analogues émanant d’associations spécialisées sont généralement reconnues, leur violation fait présumer la violation du devoir général de prudence. S’agissant de la faute, il faut que l’on puisse reprocher à l’auteur, compte tenu de ses circonstances personnelles, une inattention ou un manque d’effort blâmable (ATF 134 IV 255 consid. 4.2.3 ; TF 6B_1063/2013 précité).</w:t>
      </w:r>
    </w:p>
    <w:p>
      <w:r>
        <w:rPr>
          <w:b/>
        </w:rPr>
        <w:t>E. 3.2.2</w:t>
      </w:r>
    </w:p>
    <w:p>
      <w:r>
        <w:t>Aux termes de l’art. 11 al. 1 CP, un crime ou un délit peut aussi être commis par le fait d’un comportement passif contraire à une obligation d’agir. Il faut que l’auteur omette, par sa faute, l’accomplissement d’un acte qu’il était tenu juridiquement d’accomplir et qui, selon le cours ordinaire des choses et l’expérience de la vie, aurait évité la survenance du dommage. Il faut également que l’auteur ait occupé une position de garant, c’est-à-dire qu’il se soit trouvé dans une situation juridique particulière qui l’obligeait à ce point à protéger un bien déterminé contre des dangers indéterminés (devoir de protection) ou à empêcher la réalisation de risques connus auxquels des biens indéterminés étaient exposés (devoir de surveillance), pour que son omission apparaisse comparable au fait de provoquer le résultat par un comportement actif (ATF 134 IV 255 consid. 4.2.1 ; ATF 117 IV 130 consid. 2a ; TF 6B_1063/2013 précité consid. 3.3). En matière d’omission, la question de la causalité est particulière : l’omission est en lien de causalité naturelle avec le résultat de l’infraction présumée si son accomplissement eût empêché la survenance de ce résultat avec une vraisemblance confinant à la certitude ou, du moins, avec une haute vraisemblance (ATF 135 IV 56 consid. 2.1 ; ATF 134 IV 255 consid. 4.4.1 ; ATF 117 IV 130 consid. 2a ; TF 6B_132/2016 du 16 août 2016 consid. 3.2.1 ; TF 6B_179/2015 du 26 août 2015 consid. 2.2). L’omission est en lien de causalité adéquate si l’accomplissement de l’acte omis aurait, selon le cours ordinaire des choses et l’expérience de la vie, évité la survenance de ce résultat (ibid.).</w:t>
      </w:r>
    </w:p>
    <w:p>
      <w:r>
        <w:rPr>
          <w:b/>
        </w:rPr>
        <w:t>E. 3.3</w:t>
      </w:r>
    </w:p>
    <w:p>
      <w:r>
        <w:t>En l’espèce, le recourant fait valoir que J.________ était présent lors d’un incident qui s’était produit précédemment, lors duquel M.________, qui a été reconnu comme exclusivement responsable de l’accident litigieux, avait dû sauter d’un dumper au moment où celui-ci avait basculé de côté. L’ordonnance attaquée rejette les réquisitions tendant à l’audition de témoins au motif que, dès lors que cet incident n’avait jamais été rapporté à J.________, il ne pouvait jouer aucun rôle dans sa responsabilité. En réalité, la question de la présence ou non de J.________ lors dudit incident est sans portée. En effet, le recourant lui reproche une omission. Il ne fournit cependant aucun détail sur l’incident auquel il se réfère et à l’occasion duquel M.________ aurait dû sauter du dumper. En particulier, il n’expose pas en quoi cet événement aurait une quelconque similitude avec les circonstances de fait bien particulières de l’accident ayant entraîné les lésions corporelles graves dont il a souffert. Bien plus, il ne précise pas quelles « dispositions adéquates » aurait pu prendre J.________, dans l’hypothèse où ce dernier aurait été présent, qui auraient postérieurement empêché la survenance de l’accident lui ayant causé des lésions corporelles, et ce avec une vraisemblance confinant à la certitude. Comme le relève le Ministère public aux termes de l’ordonnance querellée, l’auteur de la manœuvre malheureuse ayant entraîné l’accident et le recourant lui-même étaient des professionnels des chantiers très expérimentés, habitués à conduire des engins, notamment des dumpers, et c’est exclusivement une erreur de M.________ au moment des faits qui est en cause. En conclusion, on ne voit pas quel devoir de prudence J.________ aurait pu violer en relation avec l’incident en cause – à supposer qu’il en ait eu connaissance – ni l’accomplissement de quel acte aurait très vraisemblablement pu empêcher la survenance de l’accident. Partant, le premier moyen du recourant doit être rejeté.</w:t>
      </w:r>
    </w:p>
    <w:p>
      <w:r>
        <w:rPr>
          <w:b/>
        </w:rPr>
        <w:t>E. 4.1</w:t>
      </w:r>
    </w:p>
    <w:p>
      <w:r>
        <w:t>Dans un second moyen, le recourant reproche à J.________ l’absence d’instructions spécifiques de sécurité par rapport à l’utilisation des outils de chantier ainsi que l’absence de manuel d’utilisation du dumper. Il considère qu’en sa qualité de responsable du chantier, il incombait à J.________ de donner ces instructions.</w:t>
      </w:r>
    </w:p>
    <w:p>
      <w:r>
        <w:rPr>
          <w:b/>
        </w:rPr>
        <w:t>E. 4.2</w:t>
      </w:r>
    </w:p>
    <w:p>
      <w:r>
        <w:t>Comme déjà relevé, le Ministère public conclut dans l’ordonnance querellée que les causes de l’accident ne sont dues ni à un manque d’instructions, ni à un défaut de conception, ni à un manque de planification ou de suivi des travaux qu’il serait possible d’imputer à J.________, mais bien à l’attitude adoptée par M.________ le jour-même de l’accident. La critique du recourant est – à nouveau – générale. En particulier, celui-ci n’expose pas quelles instructions auraient pu être données qui auraient très vraisemblablement permis d’éviter l’accident, tant il est vrai qu’il ressort des auditions que les protagonistes savaient que si un dumper est en marche avant à la descente, il ne faut pas trop charger la benne car il existe alors un risque de basculement. Du reste, le recourant admet lui-même qu’il avait identifié que la manœuvre était dangereuse et que M.________ lui avait dit « qu’il allait charger tout doucement et qu’il arrêterait de charger si cela n’allait pas » (PV aud. 13, ligne 210 s.). Le second moyen du recourant doit dès lors également être rejeté.</w:t>
      </w:r>
    </w:p>
    <w:p>
      <w:r>
        <w:rPr>
          <w:b/>
        </w:rPr>
        <w:t>E. 5</w:t>
      </w:r>
    </w:p>
    <w:p>
      <w:r>
        <w:t>Le recourant sollicite, à titre de mesures d’instruction complémentaires, son audition ainsi que celles du chef de projet et prévenu J.________, de l’ingénieur V.________, du maître d’ouvrage F.________ ainsi que du contremaître et prévenu M.________, au sujet de l’incident déjà survenu avec le dumper avant l’accident litigieux. Il requiert également que J.________ soit amené à fournir la preuve de toutes les mesures qu’il lui incombait de prendre afin de sécuriser le chantier. En l’occurrence, et à l’instar du Ministère public, on ne voit pas en quoi la mise en œuvre des mesures d’instruction demandées serait susceptible de modifier l’analyse faite aux considérants qui précèdent. Il n’y a dès lors pas lieu de faire droit aux réquisitions du recourant, celles-ci n’étant pas pertinentes.</w:t>
      </w:r>
    </w:p>
    <w:p>
      <w:r>
        <w:rPr>
          <w:b/>
        </w:rPr>
        <w:t>E. 6</w:t>
      </w:r>
    </w:p>
    <w:p>
      <w:r>
        <w:t>En définitive, les conditions de l’art. 319 al. 1 let. a et b CPP étant réunies, le classement doit être confirmé. Le recours, mal fondé, doit dès lors être rejeté. Les frais de la procédure de recours, constitués de l’émolument d’arrêt (art. 422 al. 1 CPP), par 1’100 fr. (art. 20 al. 1 TFIP [Tarif des frais de procédure et indemnités en matière pénale du 28 septembre 2010 ; RSV 312.03.1]), et de l’indemnité allouée au conseil juridique gratuit du recourant, fixée à 360 fr., plus la TVA par 27 fr. 70, soit au total 387 fr. 70, ne peuvent être mis à la charge du recourant qui succombe (art. 428 al. 1 CPP), mais doivent être provisoirement laissés à la charge de l’Etat (Harari/Corminboeuf, in : Kuhn/Jeanneret [éd.], Commentaire romand, Code de procédure pénale suisse, Bâle 2011, n. 51 ad art. 136 CPP), dès lors que le recourant bénéficie de l’assistance judiciaire sous la forme de l’exonération des frais de procédure et de la désignation d’un conseil juridique gratuit (art. 136 al. 2 let. b et c CPP ; CREP 30 décembre 2016/874). Le recourant sera toutefois tenu de rembourser ces frais à l’Etat dès que sa situation financière le permettra (art. 135 al. 4 CPP et 138 al. 1 CPP ; Harari/Corminboeuf, op. cit., n. 11 ad art. 138 CPP). Par ces motifs, la Chambre des recours pénale prononce : I. Le recours est rejeté. II. L’ordonnance du 23 février 2018 est confirmée. III. L’indemnité allouée au conseil juridique gratuit de R.________ est fixée à 387 fr. 70 (trois cent huitante-sept francs et septante centimes). IV. Les frais d’arrêt, par 1’100 fr. (mille cent francs), ainsi que l’indemnité allouée au conseil juridique gratuit de R.________, par 387 fr. 70 (trois cent huitante-sept francs et septante centimes), sont provisoirement laissés à la charge de l’Etat. V. Le remboursement à l’Etat de l’indemnité et des frais fixés aux chiffres III et IV ci-dessus ne sera exigible que pour autant que la situation financière de R.________ le permette. VI. L’arrêt est exécutoire. Le président : La greffière : Du Le présent arrêt, dont la rédaction a été approuvée à huis clos, est notifié, par l'envoi d'une copie complète, à : - Me Laurent Kohli, avocat (pour R.________), - M. le Procureur général adjoint Laurent Maye, - Me Karim Raho, avocat (pour J.________), - Me Maxime Rocafort, avocat (pour O.________), et communiqué à : - Me Quentin Beausire, avocat (pour M.________),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