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674 vom 27. August 2018</w:t>
      </w:r>
    </w:p>
    <w:p>
      <w:r>
        <w:t>VD Tribunal cantonal, 2018-08-27, FR</w:t>
      </w:r>
    </w:p>
    <w:p>
      <w:r>
        <w:rPr>
          <w:b/>
        </w:rPr>
        <w:t xml:space="preserve">Quelle: </w:t>
      </w:r>
      <w:r>
        <w:t>https://mcp.opencaselaw.ch/entscheid/vd_findinfo_D_cision___2018___674</w:t>
      </w:r>
    </w:p>
    <w:p>
      <w:r>
        <w:t>FR: VD_FINDINFO Décision / 2018 / 674 du 27 août 2018</w:t>
      </w:r>
    </w:p>
    <w:p>
      <w:r>
        <w:t>IT: VD_FINDINFO Décision / 2018 / 674 del 27 agosto 2018</w:t>
      </w:r>
    </w:p>
    <w:p>
      <w:pPr>
        <w:pStyle w:val="Heading2"/>
      </w:pPr>
      <w:r>
        <w:t>Regeste</w:t>
      </w:r>
    </w:p>
    <w:p>
      <w:r>
        <w:t>DÉTENTION PROVISOIRE, RISQUE DE COLLUSION, MESURE DE SUBSTITUTION À LA DÉTENTION, RISQUE DE RÉCIDIVE | 221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 recourant ne nie pas l’existence de soupçons suffisants de commission d’une infraction pénale pesant sur lui, s’agissant en particulier des faits qui se seraient déroulés le 1 er août 2018. Il ne conteste que les risques de collusion et de réitération retenus par le Tribunal des mesures de contrainte.</w:t>
      </w:r>
    </w:p>
    <w:p>
      <w:r>
        <w:rPr>
          <w:b/>
        </w:rPr>
        <w:t>E. 3.1</w:t>
      </w:r>
    </w:p>
    <w:p>
      <w:r>
        <w:t>Le recourant conteste en premier lieu tout risque de collusion. Il soutient en substance que toutes les personnes qui auraient été présentes dans la forêt le 1 er août 2018 auraient d’ores et déjà été entendues. De plus, les personnes qui se seraient rendues le jour des faits dans l’appartement de C.________ dans la deuxième partie de la soirée auraient également toutes été entendues. Il n’y aurait dès lors plus besoin de mener une quelconque audition. En outre, le recourant soutient que ses propres déclarations seraient complètes et précises, contrairement à l’opinion du Ministère public, les divergences éventuelles ne portant que sur des points secondaires. Par ailleurs, toutes les opérations d’enquête techniques seraient soit déjà accomplies, soit en cours, sans que le recourant puisse interférer avec elles. Enfin, s’agissant du dossier qui se trouve actuellement instruit à son encontre en France, le recourant souligne qu’il a été libéré au terme de sa garde à vue dans ce pays, ce qui démontrerait l’absence de risque de collusion.</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Kuhn/Jeanneret [éd.], Commentaire romand, Code de procédure pénale suisse, Bâle 2011,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3.3</w:t>
      </w:r>
    </w:p>
    <w:p>
      <w:r>
        <w:t>En l’espèce, avec le Tribunal des mesures de contrainte, force est de constater que malgré son jeune âge, le recourant a déjà été condamné à de nombreuses reprises pour de multiples infractions, en particulier pour des actes de violence. Ces condamnations n’ont pas eu le moindre effet dissuasif, l’intéressé ayant même récidivé alors qu’il se trouvait dans le délai d’épreuve assortissant un sursis sur une peine pécuniaire prononcée en mars 2016. Partant, le risque de réitération que présente le recourant est manifeste.</w:t>
      </w:r>
    </w:p>
    <w:p>
      <w:r>
        <w:rPr>
          <w:b/>
        </w:rPr>
        <w:t>E. 4.1</w:t>
      </w:r>
    </w:p>
    <w:p>
      <w:r>
        <w:t>Le recourant conteste ensuite tout risque de réitération. S’il admet avoir déjà été condamné à de multiples reprises pour diverses infractions, il se prévaut d’un changement radical de vie, exposant qu’il serait au bénéfice depuis novembre 2016 d’une mesure de réinsertion de l’AI. Il fait en outre valoir qu’il aurait cessé toute consommation de drogue dure. Enfin, il aurait également obtenu une place d’apprentissage dès le 2 août 2018.</w:t>
      </w:r>
    </w:p>
    <w:p>
      <w:r>
        <w:rPr>
          <w:b/>
        </w:rPr>
        <w:t>E. 4.2</w:t>
      </w:r>
    </w:p>
    <w:p>
      <w:r>
        <w:t>L'art. 221 al. 1 let. c CPP pose trois conditions pour admettre un risque de récidive. En premier lieu, le prévenu doit en principe déjà avoir commis des infractions du même genre (pour une exception à cette exigence, cf. ATF 137 IV 13 consid. 3 et 4 p. 18) et il doit s'agir de crimes ou de délits graves. Deuxièmement, la sécurité d'autrui doit être sérieusement compromise. Troisièmement, une réitération doit, sur la base d'un pronostic, être sérieusement à craindre.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 p. 14 ss; TF 1B_404/2017 du 18 octobre 2017 consid. 5,1; TF 1B_455/2016 du 9 décembre 2016 consid. 3.1).</w:t>
      </w:r>
    </w:p>
    <w:p>
      <w:r>
        <w:rPr>
          <w:b/>
        </w:rPr>
        <w:t>E. 5</w:t>
      </w:r>
    </w:p>
    <w:p>
      <w:r>
        <w:t>Le recourant conclut au prononcé de mesures de substitution (art. 237 CPP), sous la forme d’une assignation à résidence, respectivement d’une interdiction de se rendre dans certains lieux, d’une obligation d’avoir un travail régulier et d’une interdiction d’avoir des relations avec certaines personnes. En l’espèce, compte tenu des nombreux antécédents du recourant et du fait qu’il paraît avoir récidivé, gravement, à deux reprises durant l’été 2018, contre des biens juridiques particulièrement importants, alors qu’il savait vraisemblablement qu’il allait débuter son apprentissage et qu’il avait cessé sa consommation de stupéfiants depuis plusieurs mois, on ne peut que rejoindre le Tribunal des mesures de contrainte et considérer que les mesures de substitution proposées dans un premier temps par le Ministère public sont insuffisantes pour pallier le risque de réitération que présente le recourant. Cela vaut d’autant que les actes du 1 er août 2018 paraissent avoir été commis alors que l’intéressé venait d’être relaxé de garde à vue en France et qu’il était soumis à un contrôle judiciaire.</w:t>
      </w:r>
    </w:p>
    <w:p>
      <w:r>
        <w:rPr>
          <w:b/>
        </w:rPr>
        <w:t>E. 6</w:t>
      </w:r>
    </w:p>
    <w:p>
      <w:r>
        <w:t>Au vu de la gravité des faits reprochés, le recourant s’expose concrètement à une peine privative de liberté plus importante que la période de détention provisoire qu’il aura subie le 14 septembre 2018. Partant, le principe de la proportionnalité est respecté (art. 212 al. 3 CPP).</w:t>
      </w:r>
    </w:p>
    <w:p>
      <w:r>
        <w:rPr>
          <w:b/>
        </w:rPr>
        <w:t>E. 7</w:t>
      </w:r>
    </w:p>
    <w:p>
      <w:r>
        <w:t>En définitive,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17 août 2018 est confirmée. III. L’indemnité allouée au défenseur d’office de L.________ est fixée à 581 fr. 60 (cinq cent huitante et un francs et soixante centimes). IV. Les frais de la procédure de recours, par 990 fr. (neuf cent nonante francs), ainsi que l’indemnité due au défenseur d’office de L.________, par 581 fr. 60 (cinq cent huitante et un francs et soixante centimes), sont mis à la charge de ce dernier. V. Le remboursement à l’Etat de l’indemnité allouée au chiffre III ci-dessus ne sera exigible que pour autant que la situation financière de L.________ le permette. VI. L’arrêt est exécutoire. Le président :               Le greffier : Du Le présent arrêt, dont la rédaction a été approuvée à huis clos, est notifié, par l'envoi d'une copie complète, à : - Me Alexandre Reil, avocat (pour L.________), - Ministère public central, et communiqué à : - M. le Président du Tribunal des mesures de contrainte, - Mme la Procureure de l’arrondissement du Nord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