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661 vom 15. August 2018</w:t>
      </w:r>
    </w:p>
    <w:p>
      <w:r>
        <w:t>VD Tribunal cantonal, 2018-08-15, FR</w:t>
      </w:r>
    </w:p>
    <w:p>
      <w:r>
        <w:rPr>
          <w:b/>
        </w:rPr>
        <w:t xml:space="preserve">Quelle: </w:t>
      </w:r>
      <w:r>
        <w:t>https://mcp.opencaselaw.ch/entscheid/vd_findinfo_D_cision___2018___661</w:t>
      </w:r>
    </w:p>
    <w:p>
      <w:r>
        <w:t>FR: VD_FINDINFO Décision / 2018 / 661 du 15 août 2018</w:t>
      </w:r>
    </w:p>
    <w:p>
      <w:r>
        <w:t>IT: VD_FINDINFO Décision / 2018 / 661 del 15 agosto 2018</w:t>
      </w:r>
    </w:p>
    <w:p>
      <w:pPr>
        <w:pStyle w:val="Heading2"/>
      </w:pPr>
      <w:r>
        <w:t>Regeste</w:t>
      </w:r>
    </w:p>
    <w:p>
      <w:r>
        <w:t>DÉFENSE D'OFFICE, REMPLACEMENT, RELATION DE CONFIANCE, EFFICACITÉ | 12 let. a LLCA, 134 al. 2 CPP (CH)</w:t>
      </w:r>
    </w:p>
    <w:p>
      <w:pPr>
        <w:pStyle w:val="Heading2"/>
      </w:pPr>
      <w:r>
        <w:t>Erwägungen</w:t>
      </w:r>
    </w:p>
    <w:p>
      <w:r>
        <w:rPr>
          <w:b/>
        </w:rPr>
        <w:t>E. 1</w:t>
      </w:r>
    </w:p>
    <w:p>
      <w:r>
        <w:t>Interjeté en temps utile (art. 396 CPP) contre une décision du Ministère public en matière de révocation et de remplacement du défenseur d'office (CREP 16 février 2018/127 ; CREP 22 juin 2012/335 ; Harari/Aliberti, in : Kuhn/Jeanneret [éd.], Commentaire romand, Code de procédure pénale suisse, Bâle 2011, n. 25 ad art. 134 CPP), par le prévenu, qui a qualité pour recourir (art. 382 CPP ; Ruckstuhl, in : Niggli/Heer/Wiprächtiger [éd.], Basler Kommentar, Schweizerische Strafprozess-ordnung, Jugendstrafprozessordnung, 2 e éd., Bâle 2014, n. 5 ad art. 133 CPP et les réf. citées), le recours est recevable.</w:t>
      </w:r>
    </w:p>
    <w:p>
      <w:r>
        <w:rPr>
          <w:b/>
        </w:rPr>
        <w:t>E. 2.1</w:t>
      </w:r>
    </w:p>
    <w:p>
      <w:r>
        <w:t>Le recourant soutient que des divergences profondes quant à la stratégie à adopter dans le cadre de sa défense de prévenu seraient apparues entre Me X.________ et lui-même. Leur relation serait en outre émaillée d’importantes difficultés de communication. Le recourant se plaint notamment de ne recevoir aucune écoute de son défenseur d’office en lien avec la version des faits qu’il soutient. Il reproche au surplus à Me X.________ de ne pas avoir sauvegardé ses intérêts en recourant contre l’ordonnance de classement rendue le 10 janvier 2018 dans le cadre de la procédure PE16.018259, dans laquelle il était plaignant, se contentant de lui dire qu’il était trop tard pour déposer un recours alors que le délai était en réalité toujours en cours. Selon le recourant, Me X.________ aurait ainsi violé les devoirs à sa charge et il aurait perdu toute confiance dans l’engagement de celui-ci à défendre ses intérêts. Me X.________ conteste les reproches émis par le recourant, qu’il considère gravement contraires à la réalité. Il a notamment précisé dans ses déterminations qu’il n’avait rencontré U.________ qu’à une seule reprise, le 10 janvier 2018, et qu’à cette occasion, ce dernier lui aurait remis un avis de prochaine clôture daté du 24 octobre 2017 dans le cadre de l’affaire pénale PE16.018259 mais ne lui aurait pas présenté la moindre décision et pour cause, puisque l’ordonnance de classement, précisément datée du 10 janvier 2018, ne pouvait pas être déjà en sa possession. Il n’aurait donc pas pu donner au recourant de conseil juridique erroné quant à un éventuel recours contre cette décision puisqu’il n’en avait pas connaissance.</w:t>
      </w:r>
    </w:p>
    <w:p>
      <w:r>
        <w:rPr>
          <w:b/>
        </w:rPr>
        <w:t>E. 2.2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 Ruckstuhl, op. cit., n. 8 ad art. 134 CPP).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du 21 décembre 2005, FF 2006 pp. 1057 ss, spéc. p. 1159). Toutefois,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Selon l’art. 12 let. a LLCA (Loi fédérale sur la libre circulation des avocats du 23 juin 2000 ; RS 935.61), l’avocat exerce sa profession avec soin et diligence. Pour s’acquitter pleinement de sa mission, l’avocat doit informer son client sur les risques de la procédure (ATF 138 IV 161 consid. 2.5.4 et les réf. citées) et le conseiller en conséquence. Partant, si le client adopte une stratégie contraire à ses intérêts, l’avocat doit pouvoir tenter, en lui exposant les conséquences possibles de sa stratégie en comparaison de celles de la stratégie recommandée par l’avocat, de le convaincre de changer d’avis et d’adopter la stratégie la plus opportune (Bohnet/Martenet, Droit de la profession d’avocat, Berne 2009, n. 1221 p. 520).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 par exemple qu’elle amène le défenseur d’office à déclarer qu’il croit son client coupable alors que celui-ci conteste l’infraction (cf. ATF 138 IV 161 précité) –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consid. 2.4 et la réf. citée) ou s’il n’entre pas dans le mandat confié à l’avocat. En revanche, si le défenseur d’office accepte de donner un conseil au prévenu au sujet d’une procédure connexe à celle pour laquelle il a été désigné, soit d’accomplir un acte en dehors de son mandat d’office, il doit le faire avec le même soin que les actes relevant de son mandat d’office ; à ce défaut, s’il accomplit un acte préjudiciable au prévenu, il s’expose à être relevé de sa mission, le prévenu étant alors objectivement fondé à lui retirer sa confiance. Il appartient au prévenu qui demande le remplacement de son défenseur d’office de rendre vraisemblable les faits sur lesquels il fonde sa demande (TF 6B_286/2013 du 14 octobre 2013 consid. 1.2).</w:t>
      </w:r>
    </w:p>
    <w:p>
      <w:r>
        <w:rPr>
          <w:b/>
        </w:rPr>
        <w:t>E. 2.3</w:t>
      </w:r>
    </w:p>
    <w:p>
      <w:r>
        <w:t>En l’espèce, dans sa lettre au Ministère public du 29 janvier 2018 et aux termes de son recours, U.________ motive sa demande en changement de défenseur d’office en faisant valoir des divergences de points de vue irréconciliables quant à la stratégie de défense. Dans ses déterminations du 13 février 2018, Me  X.________ a confirmé qu’à l’issue d’un long entretien qu’il avait eu avec le recourant, celui-ci lui avait reproché de se faire « l’avocat du procureur et de la police ». Il n’appartient pas à la Cour de céans de spéculer sur les explications que Me X.________ a pu donner au recourant à l’occasion de cet entretien, ni sur le changement de stratégie qu’il pourrait lui avoir conseillé. Il suffit de constater qu’au regard du dossier, les actes de Me X.________ depuis le début de la procédure tendent tous à soutenir la position adoptée par le recourant. Les divergences entre le recourant et Me X.________ n’empêchent donc pas celui-ci d’assurer une défense efficace. Il n’est non plus établi qu’elles aient sérieusement entravé la collaboration entre eux. Au demeurant, l’ordonnance de classement intervenue dans la cause ouverte en 2016 a été rendue le 10 janvier 2018, soit le jour même de l’entretien du recourant avec Me X.________. Elle ne pouvait donc pas encore être en possession du recourant au moment où celui-ci a rencontré son défenseur d’office. Dans ces conditions, il apparaît peu vraisemblable que Me X.________ ait indiqué au recourant, lors de leur entrevue du 10 janvier 2018, qu’il n’était plus possible de contester le classement de la procédure ouverte en 2016. Il est bien plus probable qu’il ait déclaré que l’avis de prochaine clôture ne pouvait pas être contesté – fût-ce par une « plainte à Berne » –, renseignement qui était parfaitement correct. Aucun élément au dossier ne démontre dès lors que la défense efficace des intérêts du recourant n’aurait pas été assurée par Me X.________. La prétendue perte de confiance invoquée par le recourant semble donc procéder de motifs purement subjectifs, ce qui ne permet pas de fonder une révocation du défenseur d’office.</w:t>
      </w:r>
    </w:p>
    <w:p>
      <w:r>
        <w:rPr>
          <w:b/>
        </w:rPr>
        <w:t>E. 3</w:t>
      </w:r>
    </w:p>
    <w:p>
      <w:r>
        <w:t>En définitive, le recours d’U.________ doit être rejeté et la décision attaquée confirmée. Les frais de la procédure de recours, par 880 fr. (art. 20 al. 1 TFIP [Tarif des frais de procédure et indemnités en matière pénale du 28 septembre 2010 ; RSV 312.03.1]), ainsi que les frais imputables à la défense d’office (art. 422 al. 1 et 2 let. a CPP), fixés à 180 fr., plus la TVA par 13 fr. 85, soit à 193 fr. 85 au total, seront mis à la charge du recourant, qui succombe (art. 428 al. 1, 1 re phrase, CPP). Le remboursement à l’Etat de l’indemnité allouée au défenseur d’office du recourant sera exigible dès que sa situation financière le permettra (art. 135 al. 4 CPP). Par ces motifs, la Chambre des recours pénale prononce : I. Le recours est rejeté. II. La décision du 14 mars 2018 est confirmée. III. L’indemnité allouée au défenseur d’office d’U.________ est fixée à 193 fr. 85 (cent nonante-trois francs et huitante-cinq centimes). IV. Les frais d’arrêt, par 880 fr. (huit cent huitante francs), ainsi que l’indemnité due au défenseur d’office d’U.________, par 193 fr. 85 (cent nonante-trois francs et huitante-cinq centimes), sont mis à la charge de ce dernier. V. Le remboursement à l’Etat de l’indemnité allouée au chiffre III ci-dessus ne sera exigible que pour autant que la situation financière d’U.________ le permette. VI. L’arrêt est exécutoire. Le président : La greffière : Du Le présent arrêt, dont la rédaction a été approuvée à huis clos, est notifié, par l'envoi d'une copie complète, à : - M. U.________, - Me X.________, avocat (pour U.________),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