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641 vom 15. August 2018</w:t>
      </w:r>
    </w:p>
    <w:p>
      <w:r>
        <w:t>VD Tribunal cantonal, 2018-08-15, FR</w:t>
      </w:r>
    </w:p>
    <w:p>
      <w:r>
        <w:rPr>
          <w:b/>
        </w:rPr>
        <w:t xml:space="preserve">Quelle: </w:t>
      </w:r>
      <w:r>
        <w:t>https://mcp.opencaselaw.ch/entscheid/vd_findinfo_D_cision___2018___641</w:t>
      </w:r>
    </w:p>
    <w:p>
      <w:r>
        <w:t>FR: VD_FINDINFO Décision / 2018 / 641 du 15 août 2018</w:t>
      </w:r>
    </w:p>
    <w:p>
      <w:r>
        <w:t>IT: VD_FINDINFO Décision / 2018 / 641 del 15 agosto 2018</w:t>
      </w:r>
    </w:p>
    <w:p>
      <w:pPr>
        <w:pStyle w:val="Heading2"/>
      </w:pPr>
      <w:r>
        <w:t>Regeste</w:t>
      </w:r>
    </w:p>
    <w:p>
      <w:r>
        <w:t>DÉTENTION PROVISOIRE, RISQUE DE FUITE, RISQUE DE COLLUSION | 221 al. 1 let. a CPP (CH), 221 al. 1 let. b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une détenue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recourante ne nie pas l’existence de soupçons suffisants de commission d’une infraction pénale pesant sur elle. Elle ne conteste que les risques de fuite et de collusion retenus par le Tribunal des mesures de contrainte. Par ailleurs elle conteste tout risque de réitération et se prévaut du principe de la proportionnalité.</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ATF 117 Ia 69 consid. 4a). Il est sans importance que l'extradition du prévenu puisse être obtenue (ATF 123 I 31 consid. 3d).</w:t>
      </w:r>
    </w:p>
    <w:p>
      <w:r>
        <w:rPr>
          <w:b/>
        </w:rPr>
        <w:t>E. 3.1</w:t>
      </w:r>
    </w:p>
    <w:p>
      <w:r>
        <w:t>La recourante considère qu’un risque de fuite ne serait pas réalisé. Elle fait valoir que son permis F n’attesterait en rien d’un statut précaire en Suisse, qu’elle vit dans notre pays depuis 27 ans, qu’elle y aurait ses attaches, que ses enfants et petits-enfants vivent en Suisse et qu’elle a travaillé comme femme de ménage jusqu’à son interpellation.</w:t>
      </w:r>
    </w:p>
    <w:p>
      <w:r>
        <w:rPr>
          <w:b/>
        </w:rPr>
        <w:t>E. 3.2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3.3</w:t>
      </w:r>
    </w:p>
    <w:p>
      <w:r>
        <w:t>En l’espèce, avec le Tribunal des mesures de contrainte, force est de constater que la recourante ne bénéficie pas d’attaches suffisamment étroites avec la Suisse pour la dissuader de prendre la fuite. La prévenue omet d’abord d’indiquer que ses seuls revenus licites connus sont des plus modiques. Surtout, elle passe sous silence le fait que d’autres membres de sa famille sont également impliqués dans le trafic de stupéfiants ici en cause et que l’un de ses fils, [...], n’a, à ce jour, pas pu être interpellé. Ainsi, tout porte à croire qu’il a fui hors du territoire suisse ou est entré dans la clandestinité afin d’échapper aux poursuites pénales. Il apparaît peu vraisemblable que la prévenue ignore où il se trouve. Elle pourrait ainsi, à l’évidence, être tentée de le rejoindre en entrant dans la clandestinité. De toute manière, la recourante est soupçonnée d’avoir participé à un trafic de stupéfiants portant sur des dizaines de kilogrammes de drogue, de sorte que les faits qui lui sont reprochés sont graves. Elle encourt donc une peine privative de liberté importante. Dans ces circonstances, quoi qu’elle en dise, il est fortement à craindre qu’en cas de libération, elle entre dans la clandestinité, voire quitte le pays pour se soustraire à la suite de la procédure pénale et à la peine à laquelle elle s’expose. Elle ne dir rien d’ailleurs des biens et contacts dont elle dispose au Kosovo et des facilités dont elle pourrais disposer dans ce pays. Partant, le risque de fuite que présente la recourante est manifeste.</w:t>
      </w:r>
    </w:p>
    <w:p>
      <w:r>
        <w:rPr>
          <w:b/>
        </w:rPr>
        <w:t>E. 4.1</w:t>
      </w:r>
    </w:p>
    <w:p>
      <w:r>
        <w:t>La recourante conteste aussi tout risque de collusion. Elle soutient, en bref, que le démantèlement du réseau, l’état d’avancement de l’enquête et le fait que les mesures d’investigations restant à effectuer ne la concerneraient que marginalement excluraient tout danger de cet ordre. Il convient d’examiner ces moyens par surabondance de droit, le risque de fuite étant donné comme indiqué ci-dessus (TF 1B_249/2011 du 7 juin 2011 consid. 2.4).</w:t>
      </w:r>
    </w:p>
    <w:p>
      <w:r>
        <w:rPr>
          <w:b/>
        </w:rPr>
        <w:t>E. 4.2</w:t>
      </w:r>
    </w:p>
    <w:p>
      <w:r>
        <w:t>Le maintien en détention provisoire peut être justifié par l’intérêt public lié aux besoins de l’instruction en cours, par exemple lorsqu’il est à craindre que l’intéressé mette sa liberté à profit pour faire disparaître ou altérer les preuves, ou qu’il prenne contact avec des témoins ou d’autres prévenus pour tenter d’influencer leurs déclarations (art. 221 al. 1 let. b CPP).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in : Kuhn/Jeanneret [éd.], Commentaire romand, Code de procédure pénale suisse, Bâle 2011,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4.3</w:t>
      </w:r>
    </w:p>
    <w:p>
      <w:r>
        <w:t>En l’espèce, à ce stade de l’instruction, la recourante présente un risque de collusion significatif. En premier lieu, comme déjà relevé, l’un de ses fils, [...], n’a, à ce jour, pas pu être interpellé et il apparaît peu vraisemblable que la prévenue ignore où il se trouve. Quoi qu’il en soit, l’intéressé pourrait être tenté de prendre contact avec sa mère dans l’hypothèse où elle venait à être libérée. Ensuite, en l’état des investigations, la prévenue jouait un rôle important au sein de l’entreprise criminelle. En effet, elle conditionnait la drogue dans l’appartement qu’elle occupait avec son fils, comme cela ressort des analyses ADN et connaissait les quantités de drogue amenées. Qui plus est, elle a changé de l’argent et avait connaissance des flux financiers du réseau, en sachant quelles sommes étaient dues par qui. Son implication personnelle dans le réseau ressort en outre en particulier du fait qu’elle admet avoir félicité l’un de ses fils après une vente de drogue (PV aud. du 17 juillet 2018, lignes 40-41). Au vu des quantités de drogue mises en évidence, qui témoignent d’une situation élevée dans le trafic de stupéfiants, il apparait exclu que ce réseau était confiné à la Suisse. En effet, le présent trafic de stupéfiants ne se limite pas au cercle familial de la prévenue. Il comporte bien plutôt une dimension internationale, le réseau dans le cadre duquel sévissait la famille de la prévenue ayant notamment des ramifications en Espagne, aux Pays-Bas, en Allemagne et dans les Balkans (cf. l’audition du 23 mai 2018 de [...]). La prévenue connaît assurément ces ramifications, lesquelles ne sont pas encore établies en détail. C’est donc en vain que la prévenue fait plaider que « [l]es mesures d’enquête devraient toucher à leur fin » (recours, ch. 14). Cela étant, la prévenue dit ne pas comprendre la différence de traitement d’avec sa fille et son beau-fils, qui ont été relâchés. Elle oublie que ces levées d’écrou augmentent le risque de collusion avec ces deux co-prévenus, tout comme le danger de collusion existe avec son fils qui est actuellement en clandestinité. Le risque de collusion apparaît même d’autant plus sérieux que, le 22 juillet 2018, soit deux jours après avoir été relaxée, la fille de la prévenue s’est rendue aux abords de la prison de La Tuillière pour tenter d’entrer en communication avec sa mère (cf. recours, ch. 18). Partant, le risque de collusion est concret à l’instar du risque de fuite.</w:t>
      </w:r>
    </w:p>
    <w:p>
      <w:r>
        <w:rPr>
          <w:b/>
        </w:rPr>
        <w:t>E. 5</w:t>
      </w:r>
    </w:p>
    <w:p>
      <w:r>
        <w:t>La recourante conclut au prononcé de mesures de substitution (art. 237 CPP), sous la forme de la saisie de ses documents d’identité et de l’obligation de se présenter une fois par semaine au moins à un poste de police ou au service de la population. En l’espèce, les mesures de substitution proposées ne sont pas susceptibles de pallier le risque de collusion que présente l’intéressée, dès lors qu’elles ne permettent pas de l’empêcher de prendre contact avec des personnes impliquées dans le trafic de stupéfiants en cause. De plus, elles n’offrent pas même de garanties suffisantes pour juguler le risque de fuite. En effet, outre que de telles mesures ne permettent que de constater une fuite ou une entrée dans la clandestinité, mais non de la prévenir (cf. TF 1B_513/2012 du 2 octobre 2012 consid. 3.3), on relève que, selon la jurisprudence, il est aisé de se rendre dans les pays limitrophes sans document d'identité (cf. notamment TF 1B_145/2017 du 4 mai 2017 consid. 4.3). En outre, la prévenue n’aurait pas besoin de son passeport pour franchir la frontière de son pays d’origine, une simple carte d’identité suffisant à un national. Ainsi, les mesures de substitution proposées par la recourante ne sauraient être ordonnées. Pour le reste, aucune autre mesure de substitution n’apparaît opportune.</w:t>
      </w:r>
    </w:p>
    <w:p>
      <w:r>
        <w:rPr>
          <w:b/>
        </w:rPr>
        <w:t>E. 6</w:t>
      </w:r>
    </w:p>
    <w:p>
      <w:r>
        <w:t>Au vu de la gravité des faits reprochés à la prévenue, au vu notamment de l’ampleur du trafic de stupéfiants en cause, celle-ci s’expose concrètement à une peine privative de liberté plus importante que la période de détention provisoire qu’elle aura subie le 29 octobre 2018. Partant, le principe de la proportionnalité est respecté (art. 212 al. 3 CPP).</w:t>
      </w:r>
    </w:p>
    <w:p>
      <w:r>
        <w:rPr>
          <w:b/>
        </w:rPr>
        <w:t>E. 7</w:t>
      </w:r>
    </w:p>
    <w:p>
      <w:r>
        <w:t>En définitive,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1 et 2 let. a CPP), fixés à 540 fr., plus la TVA par 41 fr. 60, soit à 581 fr. 60 au total, seront mis à la charge de la recourante, qui succombe (art. 428 al. 1 CPP). Le remboursement à l’Etat de l’indemnité allouée au défenseur d’office de la recourante ne sera toutefois exigible que pour autant que la situation économique de cette dernière le permette (art. 135 al. 4 CPP). Par ces motifs, la Chambre des recours pénale prononce : I. Le recours est rejeté. II. L’ordonnance du 30 juillet 2018 est confirmée. III. L’indemnité allouée au défenseur d’office d’R.________ est fixée à 581 fr. 60 (cinq cent huitante et un francs et soixante centimes). IV. Les frais de la procédure de recours, par 990 fr. (neuf cent nonante francs), ainsi que l’indemnité due au défenseur d’office d’R.________, par 581 fr. 60 (cinq cent huitante et un francs et soixante centimes), sont mis à la charge de ce dernier. V. Le remboursement à l’Etat de l’indemnité allouée au chiffre III ci-dessus ne sera exigible que pour autant que la situation financière d’R.________ le permette. VI. L’arrêt est exécutoire. Le président :               Le greffier : Du Le présent arrêt, dont la rédaction a été approuvée à huis clos, est notifié, par l'envoi d'une copie complète, à : - Me Antonella Cereghetti, avocate (pour R.________), - Ministère public central, et communiqué à : - Mme la Présidente a. h. du Tribunal des mesures de contrainte, - M. le Procureur de l’arrondissement de l’Est vaudois,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