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640 vom 21. August 2018</w:t>
      </w:r>
    </w:p>
    <w:p>
      <w:r>
        <w:t>VD Tribunal cantonal, 2018-08-21, FR</w:t>
      </w:r>
    </w:p>
    <w:p>
      <w:r>
        <w:rPr>
          <w:b/>
        </w:rPr>
        <w:t xml:space="preserve">Quelle: </w:t>
      </w:r>
      <w:r>
        <w:t>https://mcp.opencaselaw.ch/entscheid/vd_findinfo_D_cision___2018___640</w:t>
      </w:r>
    </w:p>
    <w:p>
      <w:r>
        <w:t>FR: VD_FINDINFO Décision / 2018 / 640 du 21 août 2018</w:t>
      </w:r>
    </w:p>
    <w:p>
      <w:r>
        <w:t>IT: VD_FINDINFO Décision / 2018 / 640 del 21 agosto 2018</w:t>
      </w:r>
    </w:p>
    <w:p>
      <w:pPr>
        <w:pStyle w:val="Heading2"/>
      </w:pPr>
      <w:r>
        <w:t>Regeste</w:t>
      </w:r>
    </w:p>
    <w:p>
      <w:r>
        <w:t>DEMANDE ADRESSÉE À L'AUTORITÉ, RÉCUSATION, MINISTÈRE PUBLIC, AUTORITÉ JUDICIAIRE{TRIBUNAL}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Tribunal de l’arrondissement [...] (art. 59 al. 1 let. b CPP et art. 13 al. 1 LVCPP [Loi d’introduction du Code de procédure pénale suisse du 19 mai 2009; RSV 312.01]; CREP 17 mars 2017/182 consid. 1).</w:t>
      </w:r>
    </w:p>
    <w:p>
      <w:r>
        <w:rPr>
          <w:b/>
        </w:rPr>
        <w:t>E. 2.1</w:t>
      </w:r>
    </w:p>
    <w:p>
      <w:r>
        <w:t>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TF 1B_306/2016 du 23 novembre 2016 consid. 2.1; TF 1B_150/2016 du 19 mai 2016 consid. 2.1; TF 1B_435/2015 du 25 février 2016 consid. 2.1). La garantie d'un tribunal indépendant et impartial instituée par les art. 30 al. 1 Cst. (Constitution fédérale de la Confédération suisse du 18 avril 1999; RS 101) et 6 par. 1 CEDH (Convention de sauvegarde des droits de l’homme et des libertés fondamentales du 4 novembre 1950; RS 0.101) permet de demander la récusation d'un juge dont la situation ou le comportement est de nature à susciter des doutes quant à son impartialité (ATF 142 III 521 consid. 3.1.1; ATF 139 III 120 consid. 3.2.1; ATF 138 I 425 consid. 4.2.1; ATF 136 III 605 consid. 3.2.1; ATF 134 I 20 consid. 4.2;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les impressions purement individuelles d'une des parties au procès ne sont pas décisives (ATF 142 III 521 consid. 3.1.1; ATF 138 IV 142 consid. 2.1; ATF 136 III 605 consid. 3.2.1; TF 1B_150/2016 du 19 mai 2016 consid. 2.1).</w:t>
      </w:r>
    </w:p>
    <w:p>
      <w:r>
        <w:rPr>
          <w:b/>
        </w:rPr>
        <w:t>E. 2.2</w:t>
      </w:r>
    </w:p>
    <w:p>
      <w:r>
        <w:t>En l’espèce, la décision attaquée ne mentionne pas expressément un des motifs énoncés à l’art. 56 let. a à e CPP. Au vu de sa motivation, fondée sur « le principe des apparences », il convient de considérer qu’elle repose sur la clause générale de l’art. 56 let. f CPP, et plus précisément sur le fait que le prévenu exerce en tant que procureur dans le même arrondissement judicaire que le tribunal de première instance appelé à statuer sur son opposition (art. 356 al. 1 CPP). Or, manifestement, ce motif est bien fondé. En effet, il est constant que le prévenu Q.________ a été affecté depuis plusieurs années par le Procureur général en qualité de procureur au Ministère public de l’arrondissement [...], que les ministère publics d’arrondissement sont compétents selon les règles de for au sens du CPP (art. 26 al. 1 LMPu [Loi sur le Ministère public du 19 mai 2009; RSV 173.21]) et qu’à ce titre, le prévenu a donc eu la qualité de partie lors des débats pénaux devant le Tribunal d’arrondissement de [...] (cf. art. 104 let. c CPP), plus précisément devant le Tribunal de police (art. 96c LOJV [Loi d’organisation judiciaire du 12 décembre 1979; RSV 173.01]; art. 6 LVCPP), le Tribunal correctionnel et le Tribunal criminel de cet arrondissement (art. 96a LOJV; art. 9 et 10 LVCPP), tous présidés par les magistrats professionnels composant ledit Tribunal d’arrondissement (art. 17 LOJV). La situation particulière de ce tribunal – et des magistrats qui le composent – par rapport au prévenu, est donc objectivement de nature à faire naître un doute sur son impartialité.</w:t>
      </w:r>
    </w:p>
    <w:p>
      <w:r>
        <w:rPr>
          <w:b/>
        </w:rPr>
        <w:t>E. 3</w:t>
      </w:r>
    </w:p>
    <w:p>
      <w:r>
        <w:t>Au vu de ce qui précède, il convient d'admettre la demande de récusation en corps déposée le 2 juillet 2018 par le Tribunal de l'arrondissement de [...] et de transmettre la cause au Tribunal d'arrondissement de [...] (art. 4a al. 4 LVCPP). Les frais de la présente décision, par 770 fr. (art. 20 al. 1 TFIP [tarif des frais judiciaires pénaux; RSV 312.03.1]), seront laissés à la charge de l’Etat (art. 59 al. 4 CPP). Par ces motifs, la Chambre des recours pénale prononce : I. La demande de récusation spontanée présentée le 2 juillet 2018 par les magistrats du Tribunal de l’arrondissement de [...] est admise. II. La cause est transmise au Tribunal de l’arrondissement de [...]. III. Les frais de la présente décision, par 770 fr. (sept cent septante francs), sont laissés à la charge de l’Etat. IV. La décision est exécutoire. Le président :               Le greffier : Du La présente décision, dont la rédaction a été approuvée à huis clos, est notifiée, par l'envoi d'une copie complète, à : - Tribunal de l’arrondissement de [...], - Me [...], avocat (pour Q.________), - Me [...], avocate (pour W.________), - Me [...], avocat (pour J.________), - Ministère public central, et communiquée à : ‑ Tribunal de l’arrondissement de La Côte, -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