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631 vom 6. Juli 2018</w:t>
      </w:r>
    </w:p>
    <w:p>
      <w:r>
        <w:t>VD Tribunal cantonal, 2018-07-06, FR</w:t>
      </w:r>
    </w:p>
    <w:p>
      <w:r>
        <w:rPr>
          <w:b/>
        </w:rPr>
        <w:t xml:space="preserve">Quelle: </w:t>
      </w:r>
      <w:r>
        <w:t>https://mcp.opencaselaw.ch/entscheid/vd_findinfo_D_cision___2018___631</w:t>
      </w:r>
    </w:p>
    <w:p>
      <w:r>
        <w:t>FR: VD_FINDINFO Décision / 2018 / 631 du 6 juillet 2018</w:t>
      </w:r>
    </w:p>
    <w:p>
      <w:r>
        <w:t>IT: VD_FINDINFO Décision / 2018 / 631 del 6 luglio 2018</w:t>
      </w:r>
    </w:p>
    <w:p>
      <w:pPr>
        <w:pStyle w:val="Heading2"/>
      </w:pPr>
      <w:r>
        <w:t>Regeste</w:t>
      </w:r>
    </w:p>
    <w:p>
      <w:r>
        <w:t>INFRACTIONS CONTRE LE DOMAINE SECRET, PLAINTE PÉNALE, RETRAIT{VOIE DE DROIT} | 179septies CP, 316 al. 1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rPr>
          <w:b/>
        </w:rPr>
        <w:t>E. 1.2</w:t>
      </w:r>
    </w:p>
    <w:p>
      <w:r>
        <w:t>En l’espèce, le recours, qui satisfait aux conditions de forme posées par l’art. 385 al. 1 CPP, a été interjeté par la partie plaignante, qui a qualité pour recourir (art. 382 al. 1 CPP). Il l'a été dans le délai légal auprès du Ministère public qui l'a transmis à la Chambre des recours pénale comme objet de sa compétence (art. 91 al. 4 CPP). Il est donc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art.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consid. 2.2.1 ; ATF 138 IV 86 consid. 4.1.2 ; ATF 138 IV 186 consid. 4.1).</w:t>
      </w:r>
    </w:p>
    <w:p>
      <w:r>
        <w:rPr>
          <w:b/>
        </w:rPr>
        <w:t>E. 2.2</w:t>
      </w:r>
    </w:p>
    <w:p>
      <w:r>
        <w:t>et les références).</w:t>
      </w:r>
    </w:p>
    <w:p>
      <w:r>
        <w:rPr>
          <w:b/>
        </w:rPr>
        <w:t>E. 2.3</w:t>
      </w:r>
    </w:p>
    <w:p>
      <w:r>
        <w:t>Comme le relève le Procureur, seule une infraction à l'art. 179 septies CP peut entrer en ligne de compte. Cette norme prévoit que celui qui, par méchanceté ou par espièglerie, aura utilisé abusivement une installation de télécommunication pour inquiéter un tiers ou pour l'importuner sera, sur plainte, puni d'une amende.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Une seule communication peut suffire à réaliser les éléments constitutifs de l’infraction, si, selon les circonstances concrètes, cet appel est de nature à causer une grave inquiétude; en revanche, si l’atteinte à la personnalité est de peu de gravité ou de gravité moyenne, les appels doivent être d’un certain nombre (ATF 126 IV 216 consid. 2a ; CREP 15 avril 2016/274 consid. 2.2). En l'espèce, la plaignante n'a pas donné suite aux demandes du Procureur de fournir l'intégralité des messages litigieux (lettre du 6 décembre 2017 [P.5] ; lettre du 29 décembre 2017 [P. 6] ; lettre du 17 janvier 2018 [P. 7)]) et de dire à quelle fréquence la prévenue la contactait par téléphone ou par SMS, avec copie des SMS reçus et, au besoin, leur traduction en français (lettre du 18 janvier 2018 [P. 9] ; lettre du 8 février 2018 [P. 10]). Sur la base de la plainte, qui n'établit pas clairement le nombre et la nature des messages incriminés, il n'est pas possible de déterminer les éléments constitutifs d'une infraction à l'art. 179 septies CP. Par ailleurs, les pièces produites par la plaignante et les annotations faites sur celles-ci (cf. P. 8) ne montrent ni méchanceté, ni espièglerie, ni communication de nature à causer une grave inquiétude ou à porter atteinte à la personnalité de leur destinataire. En l'état, il n'est pas donc possible d'établir les éléments constitutifs de l'infraction de l'art.179 septies CP et c'est à bon droit que le Ministère public a refusé d'entrer en matière.</w:t>
      </w:r>
    </w:p>
    <w:p>
      <w:r>
        <w:rPr>
          <w:b/>
        </w:rPr>
        <w:t>E. 3</w:t>
      </w:r>
    </w:p>
    <w:p>
      <w:r>
        <w:t>Pour le surplus, le Ministère public a retenu qu'il y avait un désintérêt de la plaignante quant au sort de sa plainte et a appliqué par analogie l'art. 316 al. 1 CPP.</w:t>
      </w:r>
    </w:p>
    <w:p>
      <w:r>
        <w:rPr>
          <w:b/>
        </w:rPr>
        <w:t>E. 3.1</w:t>
      </w:r>
    </w:p>
    <w:p>
      <w:r>
        <w:t>L'art 316 CPP n'est clairement pas la disposition topique. En revanche le devoir d’agir de bonne foi et l’interdiction d’abuser d’un droit s’étendent à l’ensemble des domaines du droit, en particulier à la procédure pénale (ATF 120 IV 146; ATF 125 IV 79). Ils sont désormais consacrés à l’art. 3 al. 2 let. a et b CPP, également applicable aux parties, nonobstant la teneur de cette disposition (TF 6B_5/2013 du 19 février 2013 consid. 2.7; TF 6B_1220/2014 du 22 juin 2015 consid. 1.2.2). Le principe de la bonne foi et son corollaire, l’interdiction de l’abus de droit, s’opposent notamment à ce qu’une partie multiplie les moyens pour retarder l’issue de la procédure ou empêche la recherche de la vérité, par exemple en renouvelant sans cesse des demandes de récusation (ATF 105 Ib 301; ATF 111 Ia 148, JdT 1985 I 584; ATF 118 II 87, JdT 1993 I 316). Ce principe contraint également les parties à agir de façon cohérente (Moreillon/Parein-Reymond, Petit Commentaire CPP, 2e éd., Bâle 2016, n. 11 ad art. 3 CPP et la référence citée). L’abus manifeste des droits reconnus par la loi peut conduire à l’irrecevabilité du recours ou encore à la mise à charge des frais de procédure (CREP 5 février 2018/50 consid.</w:t>
      </w:r>
    </w:p>
    <w:p>
      <w:r>
        <w:rPr>
          <w:b/>
        </w:rPr>
        <w:t>E. 3.2</w:t>
      </w:r>
    </w:p>
    <w:p>
      <w:r>
        <w:t>En l'espèce, P.________ s'est plainte "d'un harcèlement incessant par SMS, ainsi que par envoi de messages via Facebook et WhatsApp" (cf. P. 4 page 2). Elle n'a toutefois pas communiqué les messages incriminés au Ministère public qui les a maintes fois demandés, cela pour les motifs peu convaincants invoqués dans son recours. On peine à comprendre un tel manque de collaboration de la part d'une plaignante qui dit solliciter la justice pénale pour sa sécurité et celle de sa fille. Sans les renseignements complémentaires qu'aurait pu lui apporter la plaignante ─ par exemple et à tout le moins via les données de son téléphone portable ─, le Ministère public n'a pu établir les faits pertinents, ce qui a abouti à l'ordonnance de non-entrée en matière querellée. En ne réagissant pas et en ne donnant pas suite aux demandes du procureur, puis en se plaignant dans son recours de l'ordonnance de non-entrée en matière, la recourante adopte un comportement violant la bonne foi en procédure (art. 3 al. 2 let. a CPP).</w:t>
      </w:r>
    </w:p>
    <w:p>
      <w:r>
        <w:rPr>
          <w:b/>
        </w:rPr>
        <w:t>E. 4</w:t>
      </w:r>
    </w:p>
    <w:p>
      <w:r>
        <w:t>Au vu de ce qui précède, le recours, manifestement mal fondé, doit être rejeté sans échange d’écritures (art. 390 al. 2 CPP) et l’ordonnance de non-entrée en matière du 5 mars 2018 confirmée. Les frais de la procédure de recours, constitués en l’espèce du seul émolument d’arrêt (art. 422 al. 1 CPP), par 770 fr. (art. 20 al. 1 TFIP [Tarif des frais de procédure et indemnités en matière pénale du 28 septembre 2010 ; RSV 312.03.1]), seront mis à la charge de P.________ qui succombe (art. 428 al. 1 CPP). Le montant de 550 fr. déjà versé par la recourante à titre de sûretés, sera imputé sur les frais mis à sa charge. Par ces motifs, la Chambre des recours pénale prononce : I. Le recours est rejeté. II. L'ordonnance du 5 mars 2018 est confirmée. III. Les frais d'arrêt, par 770 fr. (sept cent septante francs) sont mis à la charge de P.________. IV. Le montant de 550 fr. (cinq cent cinquante francs), déjà versé par la recourante à titre de sûretés, sera imputé sur les frais mis à sa charge au chiffre III ci-dessus. V. L’arrêt est exécutoire. Le président :               La greffière : Du Le présent arrêt, dont la rédaction a été approuvée à huis clos, est notifié, par l'envoi d'une copie complète, à : - Mme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