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620 vom 10. August 2018</w:t>
      </w:r>
    </w:p>
    <w:p>
      <w:r>
        <w:t>VD Tribunal cantonal, 2018-08-10, FR</w:t>
      </w:r>
    </w:p>
    <w:p>
      <w:r>
        <w:rPr>
          <w:b/>
        </w:rPr>
        <w:t xml:space="preserve">Quelle: </w:t>
      </w:r>
      <w:r>
        <w:t>https://mcp.opencaselaw.ch/entscheid/vd_findinfo_D_cision___2018___620</w:t>
      </w:r>
    </w:p>
    <w:p>
      <w:r>
        <w:t>FR: VD_FINDINFO Décision / 2018 / 620 du 10 août 2018</w:t>
      </w:r>
    </w:p>
    <w:p>
      <w:r>
        <w:t>IT: VD_FINDINFO Décision / 2018 / 620 del 10 agosto 2018</w:t>
      </w:r>
    </w:p>
    <w:p>
      <w:pPr>
        <w:pStyle w:val="Heading2"/>
      </w:pPr>
      <w:r>
        <w:t>Regeste</w:t>
      </w:r>
    </w:p>
    <w:p>
      <w:r>
        <w:t>DÉTENTION PROVISOIRE, PROLONGATION, RISQUE DE RÉCIDIVE, DROIT D'ÊTRE ENTENDU, MOTIVATION DE LA DÉCISION | 29 al. 2 Cst.,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e éd., Bâle 2016, nn. 6 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w:t>
      </w:r>
    </w:p>
    <w:p>
      <w:r>
        <w:rPr>
          <w:b/>
        </w:rPr>
        <w:t>E. 2.1</w:t>
      </w:r>
    </w:p>
    <w:p>
      <w:r>
        <w:t>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w:t>
      </w:r>
    </w:p>
    <w:p>
      <w:r>
        <w:rPr>
          <w:b/>
        </w:rPr>
        <w:t>E. 2.2</w:t>
      </w:r>
    </w:p>
    <w:p>
      <w:r>
        <w:t>En l’espèce, le Tribunal des mesures de contrainte a considéré que le risque de réitération retenu dans ses précédentes ordonnances et dans les arrêts de la Chambre des recours pénale des 5 décembre 2017 et 17 mai 2018 demeurait concret, aucun élément nouveau n'étant venu contredire ou modifier cette appréciation. Cette motivation était suffisante, puisque dans son dernier arrêt, la Cour de céans a notamment exposé que même si certaines infractions ne seraient pas retenues, W.________ demeurait soupçonné de plusieurs infractions graves pour lesquelles les faits étaient pour l'essentiel admis, que sa prise de conscience était balbutiante, que même s'il disait avoir entamé une certaine réflexion et être désormais abstinent, il n'avait pas établi avoir entamé en détention un suivi psychologique en relation avec les addictions dont il souffrait et, enfin, que le pronostic restait défavorable malgré l'existence d'un soutien familial, du fait que sa compagne s'apprêtait à donner naissance à leur enfant et qu'il puisse bénéficier d'un emploi à sa sortie de détention. Au demeurant, l'autorité précédente a exposé qu'une durée d'un mois paraissait suffisante pour permettre la clôture du dossier et le renvoi du prévenu devant le tribunal, de sorte qu'elle a implicitement tenu compte du fait que l'expertise psychiatrique avait été refusée et qu'il allait être mis en accusation. Le droit être entendu du recourant n'a ainsi pas été violé, puisque ses arguments – qui n'ont que peu varié en cours de procédure – ont été traités soit directement, soit par renvoi aux décisions précédentes et qu'il n'y a effectivement pas d'élément nouveau au dossier remettant en cause les motifs déjà détaillés précédemment. Quoi qu'il en soit, même en admettant l’existence du vice formel invoqué, celui-ci serait guéri en procédure de recours, l'intéressé ayant eu la possibilité de s'exprimer et de recevoir une décision motivée de la Chambre des recours pénale, qui dispose d'un pouvoir d'examen complet en fait et en droit (art. 393 al. 2 CPP; CREP 15 juin 2017/392 consid. 2.3; CREP 31 juillet 2015/514 consid. 2.5). Ce premier moyen doit donc être rejeté.</w:t>
      </w:r>
    </w:p>
    <w:p>
      <w:r>
        <w:rPr>
          <w:b/>
        </w:rPr>
        <w:t>E. 3.1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3.2</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p. 14 ss; TF 1B_404/2017 du 18 octobre 2017 consid. 5,1; TF 1B_455/2016 du 9 décembre 2016 consid. 3.1).</w:t>
      </w:r>
    </w:p>
    <w:p>
      <w:r>
        <w:rPr>
          <w:b/>
        </w:rPr>
        <w:t>E. 3.3</w:t>
      </w:r>
    </w:p>
    <w:p>
      <w:r>
        <w:t>En l'espèce, le recourant ne conteste pas qu'il existe de forts soupçons qu'il ait commis des infractions. En revanche, dans le cadre de l'appréciation du risque de récidive, il se prévaut du fait qu'une ordonnance de classement devrait être rendue en relation avec les lésions corporelles simples et les menaces dont il était accusé de s'être rendu coupable au préjudice d'H.________ et de [...]. Cela étant, le recourant perd de vue que dans son arrêt du 17 mai 2018, la Cour de céans a déjà tenu compte de cet élément, en relevant que même si certaines infractions ne seraient vraisemblablement pas retenues contre lui, il demeurait soupçonné de s'en être pris violemment et gratuitement à de jeunes inconnus alors qu'il était ivre, d'avoir commis un cambriolage dans un garage, de s'être opposé aux forces de l'ordre après avoir pénétré par effraction dans un hôtel et de s'être montré menaçant envers la police au point que l'usage de la force a été nécessaire et, encore, d'avoir trafiqué une quantité non négligeable de drogue entre juillet 2016 et mai 2017. Or, ces infractions, qui étaient les plus graves parmi celles qui lui étaient reprochées, avaient été commises en moins d'une année et justifiaient à elles seules le principe de la détention. C'est donc à juste titre que l'autorité précédente a considéré que la situation n'avait pas changé et il en va de même en ce qui concerne l'appréciation du risque de récidive en tant que tel. En effet, comme cela a été rappelé à maintes reprises tant par le Tribunal des mesures de contrainte que par la Cour de céans, au vu des antécédents du prévenu, de l'intensité et de la gravité de son activité délictuelle, de son potentiel de violence et de sa dangerosité, ainsi que de sa prise de conscience balbutiante – qui est récente et qui paraît être de circonstance – , il y a encore sérieusement lieu de craindre qu'il commette de nouvelles infractions, notamment contre l’intégrité corporelle et/ou le patrimoine d’autrui. Cela étant, le fait qu'il deviendra père très prochainement ou encore qu'il parvienne à demeurer sobre en détention n'y changent rien, le pronostic restant pour l'heure défavorable et la sécurité publique devant primer. Compte tenu de ce qui précède, le recourant ne peut rien tirer de son argumentation selon laquelle en persistant à prolonger sa détention préventive alors que l'instruction est pratiquement clause, l'autorité l'empêcherait de faire ses preuves en liberté. Au contraire, il y a lieu de constater qu'il a fait la preuve qu'il n'hésitait pas à s'en prendre au patrimoine et à l'intégrité corporelle d'autrui et on ne saurait le croire sur parole lorsqu'il prétend avoir changé et vouloir s'amender, alors que les divers éléments objectifs – rappelés ci-dessus – dont il faut tenir compte selon la jurisprudence pour évaluer le risque de récidive amènent toujours à considérer qu'un tel risque persiste et demeure concret.</w:t>
      </w:r>
    </w:p>
    <w:p>
      <w:r>
        <w:rPr>
          <w:b/>
        </w:rPr>
        <w:t>E. 3.4</w:t>
      </w:r>
    </w:p>
    <w:p>
      <w:r>
        <w:t>Les conditions de l’art. 221 al. 1 CPP étant alternatives (TF 1B_249/2011 du 7 juin 2011 consid. 2.4), l’existence d’un risque de réitération dispense d’examiner si la détention provisoire s’impose également en raison d'un éventuel risque de fuite. On peut toutefois donner acte au recourant qu'un tel risque n'apparaît pas d'actualité.</w:t>
      </w:r>
    </w:p>
    <w:p>
      <w:r>
        <w:rPr>
          <w:b/>
        </w:rPr>
        <w:t>E. 3.5</w:t>
      </w:r>
    </w:p>
    <w:p>
      <w:r>
        <w:t>Enfin, on ne voit pas en quoi le fait que la procédure touche à sa fin et qu'une expertise ait été refusée devrait conduire à une libération immédiate du recourant, puisqu'un risque de récidive, et non un risque de collusion, est retenu. Cela étant, la Procureure a requis une prolongation d'une durée d'un mois seulement, ce qui correspond aux réalités procédurales, respectivement au temps qu'il faudra pour mettre en accusation W.________ devant le tribunal. Du reste, une telle prolongation demeure proportionnée (art. 212 al. 3 CPP), la durée de la détention provisoire n'étant pas encore proche de la peine prévisible. Enfin, on comprend mal l'argumentation relative au fait qu'une expertise a été refusée. A toutes fins utiles, on précisera qu'une telle mesure d'instruction aurait éventuellement permis de constater un sevrage ou de mieux comprendre le lien entre la consommation de toxiques et les infractions reprochées au prévenu, mais il reste que le refus de cette mesure n'a aucune influence sur la question de la détention provisoire.</w:t>
      </w:r>
    </w:p>
    <w:p>
      <w:r>
        <w:rPr>
          <w:b/>
        </w:rPr>
        <w:t>E. 4</w:t>
      </w:r>
    </w:p>
    <w:p>
      <w:r>
        <w:t>Il résulte de ce qui précède que le recours, manifestement mal fondé, doit être rejeté sans autres échanges d’écritures (art. 390 al. 2 CPP) et l’ordonnance du 25 juillet 2018 confirmée. L’indemnité due à Me Cléo Buchheim, défenseur d’office du recourant, sera fixée à 540 fr., plus la TVA, par 41 fr. 60, ce qui porte le montant alloué à 581 fr. 60. Les frais de la procédure de recours, constitués en l’espèce de l’émolu­ment d'arrêt, par 1'540 fr. (art. 20 al. 1 [Tarif des frais de procédure et indemnités en matière pénale du 28 septembre 2010; RSV 312.03.1]), et des frais imputables à la défense d’office (art. 422 al. 1 et 2 let. a CPP), par 581 fr. 60, seront mis à la charge de W.________, qui succombe (art. 428 al. 1 CPP). Le remboursement à l’Etat de l’indemnité allouée au défenseur d’office de W.________ ne sera exigible que pour autant que sa situation économique le permette (art. 135 al. 4 CPP). Par ces motifs, la Chambre des recours pénale prononce : I. Le recours est rejeté. II. L'ordonnance du 25 juillet 2018 est confirmée. III. L'indemnité allouée au défenseur d'office de W.________ est fixée à 581 fr. 60 (cinq cent huitante et un francs et soixante centimes). IV. Les frais d'arrêt, par 1'540 fr. (mille cinq cent quarante francs), ainsi que l'indemnité due au défenseur d'office de W.________, par 581 fr. 60 (cinq cent huitante et un francs et soixante centimes), sont mis à la charge de ce dernier. V. Le remboursement à l’Etat de l’indemnité allouée au chiffre III ci-dessus ne sera exigible que pour autant que la situation économique de W.________ le permette. VI. L’arrêt est exécutoire. Le président :               Le greffier : Du Le présent arrêt, dont la rédaction a été approuvée à huis clos, est notifié, par l'envoi d'une copie complète, à : - Me Cléo Buchheim, avocate (pour W.________), -     Ministère public central, et communiqué à : ‑ Mme la Procureure de l'arrondissement du Nord vaudois, -     Direction de la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