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618 vom 9. August 2018</w:t>
      </w:r>
    </w:p>
    <w:p>
      <w:r>
        <w:t>VD Tribunal cantonal, 2018-08-09, FR</w:t>
      </w:r>
    </w:p>
    <w:p>
      <w:r>
        <w:rPr>
          <w:b/>
        </w:rPr>
        <w:t xml:space="preserve">Quelle: </w:t>
      </w:r>
      <w:r>
        <w:t>https://mcp.opencaselaw.ch/entscheid/vd_findinfo_D_cision___2018___618</w:t>
      </w:r>
    </w:p>
    <w:p>
      <w:r>
        <w:t>FR: VD_FINDINFO Décision / 2018 / 618 du 9 août 2018</w:t>
      </w:r>
    </w:p>
    <w:p>
      <w:r>
        <w:t>IT: VD_FINDINFO Décision / 2018 / 618 del 9 agosto 2018</w:t>
      </w:r>
    </w:p>
    <w:p>
      <w:pPr>
        <w:pStyle w:val="Heading2"/>
      </w:pPr>
      <w:r>
        <w:t>Regeste</w:t>
      </w:r>
    </w:p>
    <w:p>
      <w:r>
        <w:t>DÉTENTION PROVISOIRE, PROLONGATION, RISQUE DE COLLUSION, PROPORTIONNALITÉ | 212 al. 3 CPP (CH), 221 al. 1 let. b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Code de procédure pénale (art. 222 et 393 al. 1 let. c CPP), par le détenu qui 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w:t>
      </w:r>
    </w:p>
    <w:p>
      <w:r>
        <w:rPr>
          <w:b/>
        </w:rPr>
        <w:t>E. 3.1</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paraître vraisemblable après l’accomplissement des actes d’instruction envisageables (ATF 143 IV 316 consid. 3.2 ; ATF 137 IV 122 consid. 3.2 ; TF 1B_372/2017 du 26 septembre 2017 consid. 2.1 ; Schmocker, op. cit., n. 8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1B_208/2018 du 28 mai 2018 consid. 4.1).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330 consid. 2.1 ; TF 1B_308/2018 du 17 juillet 2018 consid. 2.1).</w:t>
      </w:r>
    </w:p>
    <w:p>
      <w:r>
        <w:rPr>
          <w:b/>
        </w:rPr>
        <w:t>E. 3.2</w:t>
      </w:r>
    </w:p>
    <w:p>
      <w:r>
        <w:t>En l’espèce, le recourant ne conteste pas à proprement parler l’existence de soupçons suffisants à son égard. Il a d’ailleurs reconnu un certain nombre de cas d’escroqueries en cours d’instruction, lors de ses auditions en qualité de prévenu. D.________ a en outre été mis en cause par ses coprévenus ainsi que par plusieurs personnes appelées à donner des renseignements entendues dans le cadre de l’enquête. Comme le relève à juste titre le Tribunal des mesures de contrainte, les soupçons de culpabilité pesant sur le recourant n’ont ainsi fait que de se renforcer au fil du temps. En conséquence, la première condition posée par l’art. 221 al. 1 CPP apparaît incontestablement réalisée.</w:t>
      </w:r>
    </w:p>
    <w:p>
      <w:r>
        <w:rPr>
          <w:b/>
        </w:rPr>
        <w:t>E. 4.1</w:t>
      </w:r>
    </w:p>
    <w:p>
      <w:r>
        <w:t>Le recourant soutient que la motivation de l’ordonnance attaquée serait lacunaire. Outre que l’on saisit mal son argumentation sur ce point, on comprend néanmoins que le grief tel qu’exposé vise en réalité l’absence de risques de collusion et de fuite. S’agissant du risque de fuite, le recourant soutient qu’un départ dans son pays d’origine, le [...], serait irréaliste dès lors que son épouse et son fils sont en Suisse et que son entreprise, de laquelle il tire l’entier de ses revenus, est sise sur notre territoire. Pour ce qui est du risque de collusion, D.________ se borne à contester son existence, d’autant moins vraisemblable après dix mois d’enquête.</w:t>
      </w:r>
    </w:p>
    <w:p>
      <w:r>
        <w:rPr>
          <w:b/>
        </w:rPr>
        <w:t>E. 4.2.1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(ATF 143 IV 160 consid. 4.3 ; TF 1B_308/2018 du 17 juillet 2018 consid. 3.1).</w:t>
      </w:r>
    </w:p>
    <w:p>
      <w:r>
        <w:rPr>
          <w:b/>
        </w:rPr>
        <w:t>E. 4.2.2</w:t>
      </w:r>
    </w:p>
    <w:p>
      <w:r>
        <w:t>Le maintien en détention provisoire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 et 15 ad art. 221 CPP ;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1B_243/2018 du 5 juin 2018 consid. 3.1).</w:t>
      </w:r>
    </w:p>
    <w:p>
      <w:r>
        <w:rPr>
          <w:b/>
        </w:rPr>
        <w:t>E. 4.2.3</w:t>
      </w:r>
    </w:p>
    <w:p>
      <w:r>
        <w:t>La réalisation d’un seul des risques énumérés à l’art. 221 al. 1 CPP suffit pour justifier la détention provisoire (TF 1B_242/2016 du 21 juillet 2016 consid. 5).</w:t>
      </w:r>
    </w:p>
    <w:p>
      <w:r>
        <w:rPr>
          <w:b/>
        </w:rPr>
        <w:t>E. 4.3</w:t>
      </w:r>
    </w:p>
    <w:p>
      <w:r>
        <w:t>En l’occurrence, le ministère public doit encore effectuer, par le biais d’auditions complémentaires, des vérifications et des recoupements en lien avec les versions divergentes apportées par les prévenus. Certains résultats de données informatiques doivent également encore être obtenus, ensuite de quoi l’instruction touchera à son terme. C’est donc à juste titre que le Tribunal des mesures de contrainte a retenu qu’un risque de collusion était toujours existant à ce stade et que le recourant devait être maintenu en détention jusqu’au terme des investigations restant à entreprendre, afin d’éviter une compromission de la recherche de la vérité par la destruction d’éventuels moyens de preuves, notamment en prenant contact avec des co-prévenus ou des tiers. Au vu de la durée déjà passée de l’enquête, les éléments manquants doivent toutefois être recueillis au plus vite, ce d’autant plus qu’il s’agit de mesures déjà en cours. Par ailleurs, la commission rogatoire destinée à l’Italie, qui n’a pas encore été adressée à ce jour et dont il est notoire qu’il s’agit d’une démarche longue, qui ne pourra aboutir rapidement, ne saurait justifier le maintien en détention provisoire du recourant. Il en résulte que, si le maintien en détention de D.________ en raison d’un risque de collusion se justifie encore actuellement, une nouvelle demande de prolongation de la détention provisoire ne pourra toutefois plus s’appuyer sur les éléments invoqués en l’état par le ministère public et retenus par le Tribunal des mesures de contrainte. Compte tenu du fait qu’un seul des risques mentionnés à l’art. 221 CPP est suffisant pour justifier la détention provisoire, il n’est nul besoin d’examiner dans le détail si le risque de fuite est également réalisé. On relèvera toutefois que sur ce point, les arguments du recourant semblent pouvoir être suivis. L’existence d’un tel risque paraît en effet peu réaliste compte tenu du fait que le recourant, bien que ressortissant du [...], est particulièrement bien établi en Suisse, où vit sa famille, où il est propriétaire d’une entreprise et bénéficie d’une autorisation d’établissement.</w:t>
      </w:r>
    </w:p>
    <w:p>
      <w:r>
        <w:rPr>
          <w:b/>
        </w:rPr>
        <w:t>E. 5.1</w:t>
      </w:r>
    </w:p>
    <w:p>
      <w:r>
        <w:t>Le recourant conteste enfin la durée de la prolongation de la détention provisoire ordonnée et soutient que les mois passés en détention ne seraient plus justifiés eu égard aux faits reprochés, à la peine encourue et à la lenteur de l’enquête, dont il n’aurait pas à assumer les conséquences.</w:t>
      </w:r>
    </w:p>
    <w:p>
      <w:r>
        <w:rPr>
          <w:b/>
        </w:rPr>
        <w:t>E. 5.2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133 I 168 consid. 4.1 ; ATF 132 I 21 consid. 4.1 ; TF 1B_238/2017 du 5 juillet 2017 consid. 2.2).</w:t>
      </w:r>
    </w:p>
    <w:p>
      <w:r>
        <w:rPr>
          <w:b/>
        </w:rPr>
        <w:t>E. 5.3</w:t>
      </w:r>
    </w:p>
    <w:p>
      <w:r>
        <w:t>Compte tenu de la gravité de l’infraction pour laquelle le recourant est en l’espèce poursuivi, soit l’escroquerie par métier, passible d’une peine privative de liberté de dix ans au plus, et des mesures d’instruction administrées en l’état, qui laissent apparaître que D.________ a joué un rôle important, voire central dans le système d’escroquerie mis en place, puisqu’il est notamment le propriétaire d’une des carrosseries impliquées, la prolongation de la détention provisoire pour une durée de trois mois demeure proportionnée à la peine finale susceptible d’être prononcée à son encontre. L’appréciation du Tribunal des mesures de contrainte sur ce point ne prête dès lors pas le flanc à la critique. A l’appui de son recours, D.________ ne propose du reste aucune mesure de substitution au sens de l’art. 237 CPP susceptible de pallier le risque de collusion retenu en lieu et place de la détention provisoire.</w:t>
      </w:r>
    </w:p>
    <w:p>
      <w:r>
        <w:rPr>
          <w:b/>
        </w:rPr>
        <w:t>E. 6</w:t>
      </w:r>
    </w:p>
    <w:p>
      <w:r>
        <w:t>Il résulte de ce qui précède que le recours, manifestement mal fondé, doit être rejeté sans échange d’écritures (art. 390 al. 2 CPP) et l’ordonnance attaquée confirmée. Les frais de la procédure de recours, constitués en l’espèce du seul émolument d’arrêt (art. 422 al. 1 CPP), par 990 fr. (art. 20 al. 1 TFIP [Tarif des frais de procédure et indemnités en matière pénale du 28 septembre 2010 ; RSV 312.03.1]), seront mis à la charge du recourant, qui succombe (art. 428 al. 1, 1 re phrase, CPP). Par ces motifs, la Chambre des recours pénale prononce : I. Le recours est rejeté. II. L’ordonnance du 26 juillet 2018 est confirmée. III. Les frais d’arrêt, par 990 fr. (neuf cent nonante francs), sont mis à la charge de D.________. IV. L’arrêt est exécutoire. Le président : La greffière : Du Le présent arrêt, dont la rédaction a été approuvée à huis clos, est notifié, par l'envoi d'une copie complète, à : - Me Albert J. Graf, avocat (pour D.________), - Ministère public central, et communiqué à : - Mme la Présidente du Tribunal des mesures de contrainte, - Mme la Procureure de l’arrondissement de La Côte,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