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614 vom 24. Juli 2018</w:t>
      </w:r>
    </w:p>
    <w:p>
      <w:r>
        <w:t>VD Tribunal cantonal, 2018-07-24, FR</w:t>
      </w:r>
    </w:p>
    <w:p>
      <w:r>
        <w:rPr>
          <w:b/>
        </w:rPr>
        <w:t xml:space="preserve">Quelle: </w:t>
      </w:r>
      <w:r>
        <w:t>https://mcp.opencaselaw.ch/entscheid/vd_findinfo_D_cision___2018___614</w:t>
      </w:r>
    </w:p>
    <w:p>
      <w:r>
        <w:t>FR: VD_FINDINFO Décision / 2018 / 614 du 24 juillet 2018</w:t>
      </w:r>
    </w:p>
    <w:p>
      <w:r>
        <w:t>IT: VD_FINDINFO Décision / 2018 / 614 del 24 luglio 2018</w:t>
      </w:r>
    </w:p>
    <w:p>
      <w:pPr>
        <w:pStyle w:val="Heading2"/>
      </w:pPr>
      <w:r>
        <w:t>Regeste</w:t>
      </w:r>
    </w:p>
    <w:p>
      <w:r>
        <w:t>DÉFENSE D'OFFICE, COMPLEXITÉ DE LA PROCÉDURE, REJET DE LA DEMANDE | 132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par une partie qui a qualité pour recourir (art. 382 al. 1 CPP) et dans les formes prescrites (art. 385 al. 1 CPP), le recours de F.________ est recevable (Moreillon/Parein-Reymond, Code de procédure pénale, Petit commentaire, 2 e éd., Bâle 2016, n. 18 ad art. 132 CPP ; CREP 17 août 2017/542 consid. 1 et les référence citées).</w:t>
      </w:r>
    </w:p>
    <w:p>
      <w:r>
        <w:rPr>
          <w:b/>
        </w:rPr>
        <w:t>E. 2.1</w:t>
      </w:r>
    </w:p>
    <w:p>
      <w:r>
        <w:t>Le recourant fait valoir qu’il existerait de sérieux doutes quant à sa responsabilité pénale. Il souffrirait d’une sévère dépression nécessitant un suivi psychiatrique. Ce suivi serait accompagné d’un traitement médicamenteux lourd, qui aurait notamment été modifié en novembre 2017, soit au moment des faits qui lui sont reprochés. Le recourant ajoute qu’il serait exposé au prononcé d’une peine privative de liberté qui pourrait excéder 4 mois. Il se prévaut ensuite du principe de l’égalité des armes, dans la mesure où la partie plaignante serait elle-même assistée d’un conseil. Il fait enfin valoir qu’il bénéficierait actuellement du Revenu d’insertion.</w:t>
      </w:r>
    </w:p>
    <w:p>
      <w:r>
        <w:rPr>
          <w:b/>
        </w:rPr>
        <w:t>E. 2.2</w:t>
      </w:r>
    </w:p>
    <w:p>
      <w:r>
        <w:t>En dehors des cas de défense obligatoire visés à l'art. 130 CPP, l'art. 132 al. 1 let. b CPP soumet le droit à l'assistance d'un défenseur d'office aux conditions que le prévenu soit indigent et que la sauvegarde de ses intérêts justifie une telle assistance, ces deux conditions étant cumulatives (Harari/Aliberti, in :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Ainsi, les intérêts du prévenu justifient une défense d'office notamment lorsque la cause n'est pas de peu de gravité et qu'elle présente, sur le plan des faits ou du droit, des difficultés que le prévenu seul ne pourrait pas surmonter (art. 132 al. 2 CPP). Si les deux conditions mentionnées à cette disposition doivent être réunies cumulativement, il n'est pas exclu que l'intervention d'un défenseur soit justifiée par d'autres motifs (comme l'indique l'adverbe "notamment" ; cf. ATF 143 I 164 consid. 3.4 et les réf. cit.), en particulier dans les cas où cette mesure est nécessaire pour garantir l'égalité des armes ou parce que l'issue de la procédure pénale a une importance particulière pour le prévenu, par exemple s'il est en détention (TF 1B_93/2018 du 29 mai 2018 consid. 3.1 ; TF 1B_447/2017 du 13 novembre 2017 consid. 3.1 et réf. cit.).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du 4 novembre 1950 de sauvegarde des droits de l’homme et des libertés fondamentales [RS 0.101] ; ATF 143 I 164 consid. 3.5 ; TF 1B_93/2018 du 29 mai 2018 consid. 3.1).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1B_93/2018 du 29 mai 2018 consid. 3.1).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1B_447/2017 du 13 novembre 2017 consid. 3.1). S'agissant de la difficulté objective de la cause, à l'instar de ce qu'elle a développé en rapport avec les chances de succès d'un recours (cf. ATF 139 III 396 consid. 1.2), la jurisprudence impose de se demander si une personne raisonnable et de bonne foi, qui présenterait les mêmes caractéristiques que le requérant mais disposerait de ressources suffisantes, ferait ou non appel à un avocat (TF 1B_93/2018 du 29 mai 2018 consid. 3.1 et réf. cit.; TF 1B_447/2017 du 13 novembre 2017 consid. 3.1 et réf. cit.). La difficulté objective d'une cause est admise sur le plan juridique lorsque la subsomption des faits donne lieu à des doutes, que ce soit de manière générale ou dans le cas particulier ; elle est également retenue, en matière de circulation routière, quand il faut apprécier des faits justificatifs ou exclusifs de responsabilité ou encore lorsque la distinction entre infraction simple et infraction grave à la loi sur la circulation routière est litigieuse (TF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1B_93/2018 du 29 mai 2018 consid. 3.1 ; TF 1B_447/2017 du 13 novembre 2017 consid. 3.1 et réf. cit.).</w:t>
      </w:r>
    </w:p>
    <w:p>
      <w:r>
        <w:rPr>
          <w:b/>
        </w:rPr>
        <w:t>E. 2.3</w:t>
      </w:r>
    </w:p>
    <w:p>
      <w:r>
        <w:t>S’agissant de ses moyens financiers, le recourant a indiqué qu’il bénéficiait actuellement du Revenu d’insertion et a produit une décision du 16 octobre 2017 attestant qu’il avait droit à cette aide dès le 1 er novembre 2017. Or, entendu le 2 février 2018, il a déclaré qu’il percevrait l’AI à la fin du mois et que sa rente s’élevait à 5'000 ou 6'000 fr. environ (PV d'audition n. 1, R. 4, p. 3). Cette question peut toutefois rester ouverte dès lors que l’assistance d’un défenseur d’office n’est pas justifiée pour les raisons qui suivent. D’une part, les faits reprochés à F.________ sont très simples. Celui-ci ne semble au demeurant pas les remettre en cause, invoquant pour seule défense souffrir de trous de mémoire. Il ressort en outre du rapport de police du 20 mars 2018 que deux fausses attestations au nom de E.________ ont été découvertes dans l’ordinateur portable utilisé par le prévenu (P. 27). A la lumière de ces éléments, l’affaire ne présente aucune difficulté ni en fait ni en droit. D’autre part, si la précarité de l’état de santé du recourant constitue, le cas échéant, un élément à prendre en compte dans le cadre de l’appréciation de sa culpabilité et de la fixation d’une éventuelle peine, elle ne complique pas pour autant l’enquête et il ne s’avère pas nécessaire d’ordonner une expertise psychiatrique sur cette question, au demeurant documentée au dossier par des pièces produites dans le cadre de la procédure civile qui oppose les parties (cf. P. 33/43 notamment). Quant à la peine encourue par le recourant, qui n’a aucun antécédent, elle ne devrait pas dépasser la limite de l’art. 132 al. 3 CPP. Au vu de ce qui précède, l’assistance d’un avocat n’est pas nécessaire à la sauvegarde des intérêts de F.________, et ce, même si la partie adverse est elle-même assistée d’un conseil.</w:t>
      </w:r>
    </w:p>
    <w:p>
      <w:r>
        <w:rPr>
          <w:b/>
        </w:rPr>
        <w:t>E. 3</w:t>
      </w:r>
    </w:p>
    <w:p>
      <w:r>
        <w:t>En définitive, le recours interjeté par F.________ doit être rejeté et l’ordonnance attaquée confirmée. Vu le rejet du recours, la requête tendant à la désignation défenseur d’office pour la procédure de recours doit également être rejetée. Les frais de la procédure de recours,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11 juin 2018 est confirmée. III. La requête tendant à la désignation d’un défenseur d’office pour la procédure de recours est rejetée. IV. Les frais d’arrêt, par 660 fr. (six cent soixante francs), sont mis à la charge de F.________. V. L’arrêt est exécutoire. Le président :               La greffière : Du Le présent arrêt, dont la rédaction a été approuvée à huis clos, est notifié, par l'envoi d'une copie complète, à : - Me Elisabeth Chappuis, avocate (pour F.________),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