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59 vom 5. Februar 2018</w:t>
      </w:r>
    </w:p>
    <w:p>
      <w:r>
        <w:t>VD Tribunal cantonal, 2018-02-05, FR</w:t>
      </w:r>
    </w:p>
    <w:p>
      <w:r>
        <w:rPr>
          <w:b/>
        </w:rPr>
        <w:t xml:space="preserve">Quelle: </w:t>
      </w:r>
      <w:r>
        <w:t>https://mcp.opencaselaw.ch/entscheid/vd_findinfo_D_cision___2018___59</w:t>
      </w:r>
    </w:p>
    <w:p>
      <w:r>
        <w:t>FR: VD_FINDINFO Décision / 2018 / 59 du 5 février 2018</w:t>
      </w:r>
    </w:p>
    <w:p>
      <w:r>
        <w:t>IT: VD_FINDINFO Décision / 2018 / 59 del 5 febbraio 2018</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U.________ à l’encontre de T.________, Procureur de l’arrondissement de Lausanne (art. 13 LVCPP [loi vaudoise d’introduction du code de procédure pénale suisse du 19 mai 2009; RSV 312.01]).</w:t>
      </w:r>
    </w:p>
    <w:p>
      <w:r>
        <w:rPr>
          <w:b/>
        </w:rPr>
        <w:t>E. 2</w:t>
      </w:r>
    </w:p>
    <w:p>
      <w:r>
        <w:t>let. a et b CPP, également applicable aux parties, nonobstant la teneur de cette disposition (TF 6B_5/2013 du 19 février 2013 consid. 2.7; TF 6B_1220/2014 du 22 juin 2015 consid. 1.2.2). L’abus de droit peut résulter de procédés téméraires continuels, de procédés dilatoires ou de l’utilisation d’une institution juridique à des fins étrangères au but même de la disposition légale qui la consacre, de telle sorte que l’écart entre le droit exercé et l’intérêt qu’il est censé protéger soit manifeste (TF 6B_1220/2014 précité; Piquerez/Macaluso, Procédure pénale suisse, 3 e éd, p. 147). Le principe de la bonne foi et son corollaire, l’interdiction de l’abus de droit, s’opposent notamment à ce qu’une partie multiplie les moyens pour retarder l’issue de la procédure ou empêche la recherche de la vérité, par exemple en renouvelant sans cesse des demandes de récusation (ATF 105 Ib 301; ATF 111 Ia 148, JdT 1985 I 584; ATF 118 II 87, JdT 1993 I 316). L’abus manifeste des droits reconnus par la loi peut conduire à l’irrecevabilité du recours ou encore à la mise à charge des frais de procédure (Piquerez/Macaluso, op. cit., p. 148 et les références citées).</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précité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ATF 134 I 20 consid. 4.2; TF 1B_311/2014 du 31 octobre 2014; TF 1B_105/2013 du 21 mai 2013 consid. 2.1).</w:t>
      </w:r>
    </w:p>
    <w:p>
      <w:r>
        <w:rPr>
          <w:b/>
        </w:rPr>
        <w:t>E. 2.2</w:t>
      </w:r>
    </w:p>
    <w:p>
      <w:r>
        <w:t>Le devoir d’agir de bonne foi et l’interdiction d’abuser d’un droit s’étendent à l’ensemble des domaines du droit, en particulier à la procédure pénale (ATF 120 IV 146; ATF 125 IV 79). Ils sont désormais consacrés à l’art. 3 al.</w:t>
      </w:r>
    </w:p>
    <w:p>
      <w:r>
        <w:rPr>
          <w:b/>
        </w:rPr>
        <w:t>E. 2.3</w:t>
      </w:r>
    </w:p>
    <w:p>
      <w:r>
        <w:t>En l’espèce, comme il l’a déjà fait à de nombreuses reprises précédemment (cf. notamment, CREP 2 octobre 2017/666 ; CREP 26 juillet 2017/525, confirmé par le Tribunal fédéral in TF 1B_386/2017 du 14 septembre 2017; CREP 22 mai 2017/346, confirmé par le Tribunal fédéral in TF 1B_278/2017 du 2 août 2017 ; CREP 26 juillet 2017/525, confirmé par le Tribunal fédéral in TF 1B_386/2017 du 14 septembre 2017 ; CREP 23 novembre 2017/816), U.________ demande la récusation d’un magistrat en raison de son appartenance à la justice vaudoise, qu’il estime corrompue, sans toutefois invoquer ni rendre vraisemblable un quelconque motif de récusation valable. Dans son arrêt du 12 octobre 2016 (CREP n° 678), la Cour de céans avait expressément indiqué au requérant qu’il ne serait pas entré en matière sur une nouvelle requête de récusation fondée sur des griefs identiques (consid. 3). Or, en l’espèce, il ne fait valoir aucun nouveau grief à l’appui de cette énième demande de récusation, outre son argumentation habituelle sur l’ordre judiciaire en général. Partant, celle-ci, manifestement abusive, est irrecevable.</w:t>
      </w:r>
    </w:p>
    <w:p>
      <w:r>
        <w:rPr>
          <w:b/>
        </w:rPr>
        <w:t>E. 3</w:t>
      </w:r>
    </w:p>
    <w:p>
      <w:r>
        <w:t>Il résulte de ce qui précède que la demande de récusation présentée le 17 janvier 2018 à l'encontre du Procureur T.________ paU.________ doit être déclarée irrecevable. Les frais de procédure, constitués en l’espèce du seul émolument de décision, par 550 fr. (art. 20 al. 1 TFIP [Tarif des frais de procédure et indemnités en matière pénale du 28 septembre 2010; RSV 312.03.1]), seront mis à la charge du requérant (art. 59 al. 4 CPP). Par ces motifs, la Chambre des recours pénale prononce : I. La demande de récusation présentée le 17 janvier 2018 par U.________ à l'encontre du Procureur T.________ est irrecevable. II. Les frais de la procédure, par 550 fr. (cinq cent cinquante francs), sont mis à la charge du requérant. III. La décision est exécutoire. Le président :               La greffière : Du La présente décision, dont la rédaction a été approuvée à huis clos, est notifiée, par l'envoi d'une copie complète, à : - M. U.________, - Ministère public central, et communiqué à : - M. le Procureur du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