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585 vom 30. Juli 2018</w:t>
      </w:r>
    </w:p>
    <w:p>
      <w:r>
        <w:t>VD Tribunal cantonal, 2018-07-30, FR</w:t>
      </w:r>
    </w:p>
    <w:p>
      <w:r>
        <w:rPr>
          <w:b/>
        </w:rPr>
        <w:t xml:space="preserve">Quelle: </w:t>
      </w:r>
      <w:r>
        <w:t>https://mcp.opencaselaw.ch/entscheid/vd_findinfo_D_cision___2018___585</w:t>
      </w:r>
    </w:p>
    <w:p>
      <w:r>
        <w:t>FR: VD_FINDINFO Décision / 2018 / 585 du 30 juillet 2018</w:t>
      </w:r>
    </w:p>
    <w:p>
      <w:r>
        <w:t>IT: VD_FINDINFO Décision / 2018 / 585 del 30 luglio 2018</w:t>
      </w:r>
    </w:p>
    <w:p>
      <w:pPr>
        <w:pStyle w:val="Heading2"/>
      </w:pPr>
      <w:r>
        <w:t>Regeste</w:t>
      </w:r>
    </w:p>
    <w:p>
      <w:r>
        <w:t>DÉTENTION PROVISOIRE, RISQUE DE RÉCIDIVE, SOUPÇON, PROPORTIONNALITÉ, MESURE DE SUBSTITUTION À LA DÉTENTION, EXPERTISE PSYCHIATRIQUE | 212 al. 3 CPP (CH), 221 al. 1 let. c CPP (CH)</w:t>
      </w:r>
    </w:p>
    <w:p>
      <w:pPr>
        <w:pStyle w:val="Heading2"/>
      </w:pPr>
      <w:r>
        <w:t>Erwägungen</w:t>
      </w:r>
    </w:p>
    <w:p>
      <w:r>
        <w:rPr>
          <w:b/>
        </w:rPr>
        <w:t>E. 1</w:t>
      </w:r>
    </w:p>
    <w:p>
      <w:r>
        <w:t>Interjeté dans le délai légal (art. 396 al. 1 CPP [Code procédure pénale suisse du 5 octobre 2007 ; RS 312.0]) contre une décision du Tribunal des mesures de contrainte dans un cas prévu par le Code de procédure pénale (art. 222 et 393 al. 1 let. c CPP), par le détenu qui a qualité pour recourir (art. 382 al. 1 CPP) et dans les formes prescrites (art. 385 al. 1 CPP), le recours est recevable. Le recourant invoque la constatation incomplète et erronée des faits et la violation des art. 221 et 237 CPP, moyens ouverts par l’art. 393 al. 2 CPP qui seront examinés successivement.</w:t>
      </w:r>
    </w:p>
    <w:p>
      <w:r>
        <w:rPr>
          <w:b/>
        </w:rPr>
        <w:t>E. 2</w:t>
      </w:r>
    </w:p>
    <w:p>
      <w:r>
        <w:t>Le recourant prétend que l’ordonnance attaquée retiendrait faussement dans son état de fait qu’il a été hospitalisé à plusieurs reprises en hôpital psychiatrique et qu’il refuse de se faire traiter. Cet argument tombe à faux. Il ressort en effet des déclarations du recourant au Procureur qu’il prétend ne pas souffrir de maladie mentale et que, pour cette raison, il s’est opposé à l’expertise psychiatrique mise en œuvre par le Tribunal de police de l’arrondissement de La Côte (PV d’arrestation du 3 juillet 2018, lignes 69 et 75). Il ressort également – et amplement – du courrier qu’il a lui-même adressé le 4 juin 2018 à la justice de paix qu’il a fait l’objet, depuis 1995, d’une dizaine d’hospitalisations pour des motifs psychiatriques, dont il énonce même le détail (cf. P. 7/2, pp. 24-36), la dernière du 15 mars au 12 mai 2017 (cf. p. 36).</w:t>
      </w:r>
    </w:p>
    <w:p>
      <w:r>
        <w:rPr>
          <w:b/>
        </w:rPr>
        <w:t>E. 3</w:t>
      </w:r>
    </w:p>
    <w:p>
      <w:r>
        <w:t>et 4 ; TF 1B_206/2018 du 23 mai 2018 consid. 3.1.2). Un risque de réitération peut se fonder sur les infractions faisant l'objet de la procédure pénale en cours, si le prévenu est fortement soupçonné – avec une probabilité confinant à la certitude – de les avoir commises (ATF 143 IV 9 consid. 2.3.1 ; ATF 137 IV 84 consid. 3.2, JdT 2011 IV 325). La gravité de l'infraction dépend, outre de la peine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 d’après la jurisprudence du Tribunal fédéral, les menaces peuvent également justifier une détention avant jugement, le bien juridique menacé étant la sécurité de la victime (ATF 143 IV 9 consid. 2.6 et 2.7 ; TF 1B_238/2012 du 16 mai 2012 consid. 2.4.2).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lorsqu’on dispose d’une expertise psychiatrique ou d’un pré-rapport – moyens d’instruction dont la mise en œuvre n’est pas forcément nécessaire dans tous les cas où le risque de récidive est examiné –, il y a lieu d’en tenir compte (ATF 143 IV 9 consid. 2.8).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 ; TF 1B_206/2018 du 23 mai 2018 consid. 3.1).</w:t>
      </w:r>
    </w:p>
    <w:p>
      <w:r>
        <w:rPr>
          <w:b/>
        </w:rPr>
        <w:t>E. 3.1</w:t>
      </w:r>
    </w:p>
    <w:p>
      <w:r>
        <w:t>Le recourant conteste s’être rendu coupable d’infractions graves qui permettraient son placement en détention provisoire. Il soutient que les infractions qui entrent en ligne de compte et pour lesquelles il a déjà été condamné ne sont passibles que d’une peine pécuniaire et que, s’agissant des menaces, qui est la seule infraction passible d’une peine privative de liberté et qui pourrait ainsi objectivement être qualifiée de grave, il n’y a aucune réitération puisqu’il n’a jamais été poursuivi ni condamné de ce fait. Selon le recourant, le fait que le Ministère public ait attendu un mois depuis l’ouverture de l’enquête pour procéder à son interpellation et à son arrestation démontrerait que les infractions reprochées sont de peu de gravité et qu’il n’y a aucune mise en danger de la sécurité d’autrui, ni aucune urgence. Au surplus, il conteste le risque de réitération.</w:t>
      </w:r>
    </w:p>
    <w:p>
      <w:r>
        <w:rPr>
          <w:b/>
        </w:rPr>
        <w:t>E. 3.2</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peut être ordonnée s'il y a sérieusement lieu de craindre qu'une personne passe à l'acte après avoir menacé de commettre un crime grave (art. 221 al. 2 CPP). 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 ATF 116 la 143 consid. 3c ; TF 1B_423/2010 du 17 janvier 2011 consid. 4.1 ; Schmocker, op. cit., n. 8 ad art. 221 CPP).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116 la 413 consid. 3c ; TF 1B_423/2010 du 17 janvier 2011 consid. 4.1).</w:t>
      </w:r>
    </w:p>
    <w:p>
      <w:r>
        <w:rPr>
          <w:b/>
        </w:rPr>
        <w:t>E. 3.3</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w:t>
      </w:r>
    </w:p>
    <w:p>
      <w:r>
        <w:rPr>
          <w:b/>
        </w:rPr>
        <w:t>E. 3.4</w:t>
      </w:r>
    </w:p>
    <w:p>
      <w:r>
        <w:t>En l’espèce, entre mai et juin 2018, le recourant a adressé de nombreux courriels et SMS à N.________, la traitant à plusieurs reprises de « pute » et de « salope », l’accusant de combiner contre lui des « coups tordus » pour le faire « crever » ou qu’il se suicide, l’accusant d’être « une travailleuse du sexe, professionnelle ou occasionnelle » pratiquant la « scatophilie » et la « débauche sexuelle », ainsi que de s’être « envoyée en l’air » avec des « gosses » ; en outre, dans le cadre d’une procédure devant la Justice de paix des districts du Jura - Nord vaudois et du Gros-de-Vaud tendant à son placement à des fins d’assistance, il a adressé le 4 juin 2018 à cette autorité un courrier de 68 pages dans lequel il mentionne « des coups tordus de natures pénales et d’autres natures » dont il serait la victime de la part de plusieurs « personnes » et « organismes », ayant pour but notamment de « manipuler, ou conditionner, N.________, pour qu’elle se livre à une débauche sexuelle » (P. 7/2, pp. 12 et 65). Enfin, les 25 mai et 7 juin 2018, il a adressé à N.________ des courriels au contenu indéniablement menaçant, évoquant le fait qu’à sa place, il partirait en vacances en Californie et qu’il allait venir chez elle s’en prendre à elle « physiquement » pour la « tabasser ». Le recourant a admis être l’auteur des courriels et SMS en cause. Dans ces conditions, il existe des soupçons confinant à la certitude qu’il se soit rendu coupable des infractions d’injure (art. 177 CP [Code pénal suisse du 21 décembre 1937 ; RS 311.0]), de diffamation (art. 173 CP), de calomnie (art. 174 CP), de menaces (art. 180 CP) et d’utilisation abusive d’une installation de télécommunication (art. 179septies CP). Il est vrai que, parmi ces infractions, seules celles des art. 174 et 180 CP sont des délits pouvant justifier une mise en détention provisoire et que, par le passé, le recourant n’a été condamné que pour injure, calomnie et utilisation abusive d’une installation de télécommunication et pas pour des menaces. Toutefois, il convient de tenir compte du fait que, manifestement en raison de sa pathologie psychiatrique, le recourant fait une fixation au sujet de N.________, et que, en dépit de deux condamnations pénales, dont l’une faisant l’objet d’une procédure d’opposition en cours, il a récidivé gravement en proférant contre elle, à maintes reprises, des propos orduriers et calomnieux, et en utilisant son ordinateur ou son téléphone cellulaire pour l’inquiéter et l’importuner. Or les propos menaçants des 25 mai et 7 juin 2018 démontrent que le recourant a franchi un cap, puisqu’à la prétendue « charia » dont il serait la victime de la part de N.________, il prévient qu’il ne répondra plus seulement par l’injure, la calomnie et le harcèlement mais qu’il va s’en « prendre physiquement » à elle pour la « tabasser ». Au vu de ce qui précède et, surtout, de la pathologie psychiatrique présentée par le prévenu, du déni dont il fait preuve et du palier franchi dernièrement dans le délire dirigé contre N.________, il convient de retenir qu’il existe un risque très élevé de récidive non seulement pour les infractions contre l’honneur et d’utilisation abusive d’une installation de télécommunication, mais également pour celle de menaces : en outre, pour les même motifs, il est à craindre que le recourant puisse en venir à mettre ses menaces de « tabasser » à exécution, puisqu’il a admis qu’il connaissait le lieu de domicile de l’intéressée.</w:t>
      </w:r>
    </w:p>
    <w:p>
      <w:r>
        <w:rPr>
          <w:b/>
        </w:rPr>
        <w:t>E. 4.1</w:t>
      </w:r>
    </w:p>
    <w:p>
      <w:r>
        <w:t>Le recourant invoque enfin une violation du principe de la proportionnalité, reprochant au Tribunal des mesures de contrainte de n’avoir pas examiné cette question. Il considère qu’une détention de trois mois serait disproportionnée avec la peine encourue, qui ne pourrait être qu’une peine pécuniaire s’agissant d’infractions aussi banales et peu graves que celles qui lui sont reprochées. S’agissant des mesures de substitution, le recourant fait grief au Tribunal des mesures de contrainte d’avoir considéré qu’une interdiction de contact ne permettrait pas de parer concrètement le risque craint. Ce faisant, le tribunal n’aurait pas tenu compte du fait qu’il s’était expressément engagé à ne plus contacter N.________ ni n’aurait expliqué les motifs pour lesquels son engagement ne serait pas fiable. Concernant la mise en place d’un traitement ambulatoire, il rappelle avoir tenu, lors de son audition devant ce tribunal, les propos suivants : « Je demande à avoir un soutien psychologique avec une personne qui me comprend, pour m’aider dans le cadre de l’affaire civile et pénale » (PV aud. du 5 juillet 2018, lignes 38-40), ce dont le tribunal n’aurait pas tenu compte. Il reproche également au tribunal d’avoir omis de prendre en considération le fait qu’une procédure, ayant précisément pour but de mettre en place un suivi psychiatrique le concernant, était pendante devant la justice de paix. S’agissant enfin du séquestre du matériel informatique, il soutient qu’il s’agirait d’une mesure propre à pallier le risque de récidive, preuve en serait que cette mesure a déjà été ordonnée par le Procureur.</w:t>
      </w:r>
    </w:p>
    <w:p>
      <w:r>
        <w:rPr>
          <w:b/>
        </w:rPr>
        <w:t>E. 4.2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(ATF 133 I 168 consid. 4.1; ATF 132 I 21 consid. 4.1 ; TF 1B_411/2011 du 31 août 2011 consid. 4.1). Toutefois, le fait que la peine encourue puisse être assortie du sursis, total ou partiel, n’est pas déterminant sous l’angle de la proportionnalité (ATF 133 I 270 consid. 3.4.2). Conformément au principe de la proportionnalité (cf.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 ultima ratio (ATF 142 IV 367 consid. 2.1 ; ATF 141 IV 190 consid. 3.1).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Conformément à l'art. 237 al. 5 CPP,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(TF 1B_182/2017 du 7 juin 2017 consid. 4.1). La liste des mesures de substitution énoncée à l'art. 237 al. 2 CPP n'est pas exhaustive. En vertu du principe de la proportionnalité, l'autorité est tenue de substituer à la détention provisoire toute mesure moins incisive qui permettrait d'atteindre le même but (ATF 133 I 270 consid. 2.2). Comme la liste de l’art. 237 al. 2 CPP n’est pas exhaustive, la jurisprudence a posé qu’un placement en institution avant un jugement au fond n’était pas exclu et que rien ne s’opposait dans la loi à un tel placement, combiné le cas échéant avec d’autres mesures, si cela permettait d’atteindre le même but que la détention (TF 1B_100/2016 du 5 avril 2016 consid. 3.2) ; toutefois, une telle mesure doit reposer sur un avis d’expert compte tenu du danger encouru par les victimes potentielles en cas de récidive (même arrêt). L’autorité peut, à cet effet, assortir cette mesure de toute condition propre à en garantir l'efficacité (TF 1B_165/2012 du 12 avril 2012 consid. 2.3).</w:t>
      </w:r>
    </w:p>
    <w:p>
      <w:r>
        <w:rPr>
          <w:b/>
        </w:rPr>
        <w:t>E. 4.3</w:t>
      </w:r>
    </w:p>
    <w:p>
      <w:r>
        <w:t>En l’occurrence, le recourant est prévenu des infractions d’injure, de diffamation, subsidiairement de calomnie, d’utilisation abusive d’une installation de télécommunication et de menaces. Les infractions de calomnie et de menaces sont passibles toutes deux d’une peine privative de liberté de trois ans au plus, tandis que les autres infractions sont passibles de peines pécuniaires ou d’amende. Compte tenu du concours possible, la peine encourue est donc d’au maximum quatre ans et demi (art. 49 al. 1 CP). Si, comme l’a retenu la Cour d’appel pénale dans son jugement du 7 février 2017, le recourant pourra bénéficier d’une diminution de responsabilité en raison de sa maladie psychique, sa peine pourra être réduite (art. 19 al. 2 CP). En tout état de cause, au vu du nombre de cas, des antécédents de l’intéressé et de sa situation personnelle, celui-ci encourt concrètement une peine privative de liberté supérieure à deux mois. La durée de la détention provisoire ne viole donc pas le principe de la proportionnalité. Quant aux mesures de substitution, le recourant propose d’abord la « perquisition » de son matériel informatique, en précisant que celle-ci a déjà été opérée. En l’état, on ne voit pas en quoi la perquisition de son ordinateur pourrait empêcher le recourant de récidiver. Même le séquestre de cet appareil n’empêcherait pas le recourant de s’en procurer un autre. C’est du reste ce qu’il admet avoir dû faire – pour se défendre ( sic ) – après que, par deux fois, son ordinateur avait été saisi et/ou détruit lors des enquêtes précédentes. C’est dire qu’un tel séquestre serait vain pour pallier le risque de réitération. Au surplus, plusieurs des messages litigieux ont été émis par SMS, et non par ordinateur. Le recourant propose également une interdiction de contacter N.________, et souligne qu’à la question de son avocate de savoir s’il s’engageait à le faire, il a répondu en audience par l’affirmative. Toutefois, lorsque, le 3 juillet 2018, le recourant a été entendu par le Procureur sur l’incidence, pour sa victime, des menaces qu’il a proférées de la tabasser et s’il ne pouvait pas la laisser tranquille, il a répondu : « C’est salaud et extrêmement méchant ce qu’elle me fait » (ligne 54). Manifestement, toujours du fait de ses problèmes psychiatriques, le recourant n’est pas apte à respecter un engagement ou une interdiction de contacter N.________, notamment parce qu’il pense que c’est elle-même qui mène contre lui une « charia » et qu’elle est une « voyante » et une « sorcière » (lignes 47-48). Quant à un traitement psychiatrique ambulatoire, proposé en dernier lieu par le recourant, il faut constater que cette conclusion n’est pas étayée par l’avis d’un expert ou d’un médecin. Au demeurant, il convient de relever que le suivi d’un tel traitement serait problématique, le recourant, s’il reconnaît avoir besoin d’un soutien psychologique, niant souffrir de maladie mentale (cf. PV d’arrestation du 3 juillet 2018, lignes 69 et 75-76). Si, à ce stade, il n’est pas possible d’ordonner un tel traitement, la situation devra impérativement être revue par le Procureur à réception du rapport d’expertise psychiatrique, qui doit être déposé au plus tard le 17 août 2018, ou même auparavant, si des conclusions orales pouvaient être obtenues avant cette date. Enfin, si la justice civile devait ordonner un placement du recourant à des fins d’assistance, le Procureur devrait également immédiatement réexaminer la question de la levée de la détention provisoire, au vu du type d’institution et de traitement en cause. Au vu de ce qui précède, le principe de la proportionnalité est respecté et aucune mesure de substitution n’est, en l’état, envisageable.</w:t>
      </w:r>
    </w:p>
    <w:p>
      <w:r>
        <w:rPr>
          <w:b/>
        </w:rPr>
        <w:t>E. 5</w:t>
      </w:r>
    </w:p>
    <w:p>
      <w:r>
        <w:t>En définitive, le recours doit être rejeté et l’ordonnance entreprise confirmée. Les frais de la procédure de recours, constitués en l’espèce de l’émolument d'arrêt, par 1'540 fr. (art. 20 al. 1 TFIP [Tarif des frais de procédure et indemnités en matière pénale du 28 septembre 2010 ; RSV 312.03.1]), et des frais imputables à la défense d’office (art. 422 al. 1 et 2 let. a CPP), fixés à 540 fr., plus la TVA par 41 fr. 60, soit à 581 fr. 60 au total, seront mis à la charge du recourant, qui succombe (art. 428 al. 1 CPP). Le remboursement à l’Etat de l’indemnité allouée au défenseur d’office du recourant ne sera toutefois exigible que pour autant que sa situation financière le permette (art. 135 al. 4 CPP). Par ces motifs, la Chambre des recours pénale prononce : I. Le recours est rejeté. II. L’ordonnance du 5 juillet 2018 est confirmée. III. L’indemnité allouée au défenseur d’office de S.________ est fixée à 581 fr. 60 (cinq cent huitante et un francs et soixante centimes). IV. Les frais d’arrêt, par 1'540 fr. (mille cinq cent quarante francs), ainsi que l’indemnité due au défenseur d’office de S.________, par 581 fr. 60 (cinq cent huitante et un francs et soixante centimes), sont mis à la charge de ce dernier. V. Le remboursement à l’Etat de l’indemnité allouée au chiffre III ci-dessus ne sera exigible que pour autant que la situation financière de S.________ le permette. VI. L’arrêt est exécutoire. Le président : La greffière : Du Le présent arrêt, dont la rédaction a été approuvée à huis clos, est notifié, par l'envoi d'une copie complète, à : - Me Rachel Cavargna-Debluë, avocate (pour S.________), - Ministère public central, et communiqué à : - Mme la Présidente du Tribunal des mesures de contrainte, - M. le Procureur de l’arrondissement du Nord vaudois, - Me Xavier Oulevey, avocat (pour N.________),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