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568 vom 22. Juni 2018</w:t>
      </w:r>
    </w:p>
    <w:p>
      <w:r>
        <w:t>VD Tribunal cantonal, 2018-06-22, FR</w:t>
      </w:r>
    </w:p>
    <w:p>
      <w:r>
        <w:rPr>
          <w:b/>
        </w:rPr>
        <w:t xml:space="preserve">Quelle: </w:t>
      </w:r>
      <w:r>
        <w:t>https://mcp.opencaselaw.ch/entscheid/vd_findinfo_D_cision___2018___568</w:t>
      </w:r>
    </w:p>
    <w:p>
      <w:r>
        <w:t>FR: VD_FINDINFO Décision / 2018 / 568 du 22 juin 2018</w:t>
      </w:r>
    </w:p>
    <w:p>
      <w:r>
        <w:t>IT: VD_FINDINFO Décision / 2018 / 568 del 22 giugno 2018</w:t>
      </w:r>
    </w:p>
    <w:p>
      <w:pPr>
        <w:pStyle w:val="Heading2"/>
      </w:pPr>
      <w:r>
        <w:t>Regeste</w:t>
      </w:r>
    </w:p>
    <w:p>
      <w:r>
        <w:t>DÉCISION D'IRRECEVABILITÉ, DÉLAI DE RECOURS</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Le délai de recours de dix jours – qui ne peut pas être prolongé (art. 89 al. 1 CPP) – commence à courir le jour qui suit la notification de l’ordonnance entreprise (art. 90 al. 1 et 384 let. b CPP; Calame, in: Kuhn/Jeanneret (éd.), Commentaire romand, Code de procédure pénale suisse, Bâle 2011, n. 3 ad art. 384 CPP). En cas d’envoi recommandé, l’acte est réputé notifié le dernier jour du délai de garde de sept jours (cf. art. 85 al. 4 let. a CPP). Cette présomption trouve également application en cas de demande de garde de courrier (poste restante) (TF 1P.369/2000 du 24 juillet 2000 consid. 1b). On considère en d’autres termes que l’avis de retrait, qui mentionne l’existence du délai de garde de sept jours, parvient dans la sphère d’influence au moment où il est déposé à l’office de poste chargé de garder le courrier. En cas d’envoi par pli simple (en poste restante), c’est l’acte lui-même qui parvient dans la sphère d’influence du destinataire lorsqu’il est déposé à l’office chargé de garder le courrier. Le délai de recours commence dès lors à courir dès le jour qui suit le dépôt (cf., par analogie, s’agissant d’un dépôt dans une case postale : TF 2C_926/2014 du 17 octobre 2014 consid. 3.3).</w:t>
      </w:r>
    </w:p>
    <w:p>
      <w:r>
        <w:rPr>
          <w:b/>
        </w:rPr>
        <w:t>E. 1.3</w:t>
      </w:r>
    </w:p>
    <w:p>
      <w:r>
        <w:t>En l’espèce, D.________ a mis son courrier en garde à la Poste. Il est mentionné sur l’enveloppe de l’ordonnance attaquée : « à garder jusqu’au : 27.04.2018 – distribuer le : 30.04.2018 » (P. 17/1 R1). Toutefois, cette garde, initialement prévue jusqu’au 30 avril 2018, a été successivement prolongée jusqu’au 29 mai 2018 (P. 17/1 R2 à R4). Vu ce qui précède, l’ordonnance du 26 mars 2018 doit être réputée notifiée au plus tard le 30 avril 2018. Le délai de recours arrive ainsi à échéance le 10 mai 2018. Force est ainsi de constater que l’acte de recours, remis à la Poste le 8 juin 2018, a été déposé tardivement.</w:t>
      </w:r>
    </w:p>
    <w:p>
      <w:r>
        <w:rPr>
          <w:b/>
        </w:rPr>
        <w:t>E. 2</w:t>
      </w:r>
    </w:p>
    <w:p>
      <w:r>
        <w:t>Il résulte de ce qui précède que le recours doit être déclaré irrecevable, sans autre échange d’écritures (art. 390 al. 2 CPP). La requête tendant à l’octroi de l’assistance judiciaire gratuite pour la procédure de recours doit être rejetée, le recours étant d'emblée dénué de chance de succès (CREP 21 novembre 2017/806; CREP 13 août 2015/478, et les références citées; Ruckstuhl, in : Niggli/ Heer/Wiprächtiger [éd.], Basler Kommentar, Schweizerische Strafprozessordnung, Jugendstrafprozessordnung, Art. 1-195 StPO, 2 e éd., Bâle 2014, n. 10 ad art. 132 CPP). Les frais de la procédure de recours, constitués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irrecevable. II. La requête d’assistance judiciaire est rejetée. III. Les frais d’arrêt, par 440 fr. (quatre cent quarante francs), sont mis à la charge du recourant. IV. L’arrêt est exécutoire. Le président :               La greffière : Du Le présent arrêt, dont la rédaction a été approuvée à huis clos, est notifié, par l'envoi d'une copie complète, à : - M. D.________, - Ministère public central, et communiqué à : ‑ M. le Procureur de l’arrondissement de La Côte, -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