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535 vom 4. Juli 2018</w:t>
      </w:r>
    </w:p>
    <w:p>
      <w:r>
        <w:t>VD Tribunal cantonal, 2018-07-04, FR</w:t>
      </w:r>
    </w:p>
    <w:p>
      <w:r>
        <w:rPr>
          <w:b/>
        </w:rPr>
        <w:t xml:space="preserve">Quelle: </w:t>
      </w:r>
      <w:r>
        <w:t>https://mcp.opencaselaw.ch/entscheid/vd_findinfo_D_cision___2018___535</w:t>
      </w:r>
    </w:p>
    <w:p>
      <w:r>
        <w:t>FR: VD_FINDINFO Décision / 2018 / 535 du 4 juillet 2018</w:t>
      </w:r>
    </w:p>
    <w:p>
      <w:r>
        <w:t>IT: VD_FINDINFO Décision / 2018 / 535 del 4 luglio 2018</w:t>
      </w:r>
    </w:p>
    <w:p>
      <w:pPr>
        <w:pStyle w:val="Heading2"/>
      </w:pPr>
      <w:r>
        <w:t>Regeste</w:t>
      </w:r>
    </w:p>
    <w:p>
      <w:r>
        <w:t>ORDONNANCE PÉNALE, FICTION DE LA NOTIFICATION, OPPOSITION TARDIVE | 354 CPP (CH), 356 al. 2 CPP (CH), 85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9 septembre 2016/605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la prévenue qui a qualité pour recourir (art. 382 al. 1 CPP) et dans les formes prescrites (art. 385 al. 1 CPP), le recours est recevable.</w:t>
      </w:r>
    </w:p>
    <w:p>
      <w:r>
        <w:rPr>
          <w:b/>
        </w:rPr>
        <w:t>E. 2</w:t>
      </w:r>
    </w:p>
    <w:p>
      <w:r>
        <w:t>La recourante soutient tout d’abord que l’issue de son recours dépendrait de la future décision du Ministère public sur sa requête du 29 juin 2018 en restitution du délai d’opposition. Or, selon la jurisprudence du Tribunal fédéral, la question de la restitution du délai d'opposition contre une ordonnance pénale ne se pose que si l'intéressée a été empêchée de l'observer. Cela présuppose que le délai d'opposition ait expiré avant que l'opposition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citées ; TF 6B_1118/2015 du 30 juin 2016 consid. 1.1). Il s’ensuit que la question de la recevabilité de l’opposition doit être tranchée préalablement à la décision du Ministère public sur la demande de restitution du délai (CREP 12 octobre 2016/689).</w:t>
      </w:r>
    </w:p>
    <w:p>
      <w:r>
        <w:rPr>
          <w:b/>
        </w:rPr>
        <w:t>E. 3.1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Le délai de dix jours court dès la notification de l’ordonnance pénale (TF 6B_940/2013 du 31 mars 2014 consid. 2.2.1).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3.2</w:t>
      </w:r>
    </w:p>
    <w:p>
      <w:r>
        <w:t>Selon l’art. 85 al. 2 CPP, la notification se fait en principe par lettre signature ou par tout autre mode de communication impliquant un accusé de réception, notamment par l'entremise de la police. Aux termes de l’art. 85 al. 4 let. b CPP, un prononcé, telle une ordonnance pénale, est réputé notifié lorsque, notifié personnellement, il a été refusé et que ce refus a été dûment constaté le jour même par la personne chargée de remettre le pli.</w:t>
      </w:r>
    </w:p>
    <w:p>
      <w:r>
        <w:rPr>
          <w:b/>
        </w:rPr>
        <w:t>E. 3.3</w:t>
      </w:r>
    </w:p>
    <w:p>
      <w:r>
        <w:t>En l’espèce, la recourante fait valoir qu’elle ne serait pas l’auteur du refus de notification du 15 mai 2018, mais que sa fille mineure se serait rendue à la poste et aurait refusé le pli, croyant qu’il s’agissait d’un courrier de la direction de son gymnase informant sa mère de sanctions disciplinaires prises à son endroit. Il est toutefois improbable que les agents de la poste aient pris note d’un refus de courrier recommandé sans avoir vérifié l’identité de la personne qui s’était présentée au guichet. Partant, il sied de retenir que la recourante a refusé le pli qui lui était destiné le 15 mai 2018 et que celui-ci est dès lors réputé lui avoir été notifié à cette date. La recourante bénéficiait dès lors, pour former opposition, d’un délai de dix jours courant dès le 15 mai 2018 et échéant, par conséquent, le vendredi 25 mai 2018. Formée le 29 mai 2018, son opposition était dès lors tardive et, comme telle, irrecevable.</w:t>
      </w:r>
    </w:p>
    <w:p>
      <w:r>
        <w:rPr>
          <w:b/>
        </w:rPr>
        <w:t>E. 4</w:t>
      </w:r>
    </w:p>
    <w:p>
      <w:r>
        <w:t>En définitive, le recours, manifestement mal fondé, doit être rejeté sans autre échange d’écritures (art. 390 al. 2 CPP) et le prononcé du 20 juin 2018 confirmé.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20 juin 2018 est confirmé. III. Les frais de la procédure de recours, par 660 fr. (six cent soixante francs), sont mis à la charge de G.________. IV. L’arrêt est exécutoire. Le président :               La greffière : Du Le présent arrêt, dont la rédaction a été approuvée à huis clos, est notifié, par l'envoi d'une copie complète, à : - Mme G.________, - Ministère public central, et communiqué à : ‑ M. le Président du Tribunal d’arrondissement de Lausanne, - M. le Procureur de l’arrondissement de Lausanne,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