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530 vom 26. Juni 2018</w:t>
      </w:r>
    </w:p>
    <w:p>
      <w:r>
        <w:t>VD Tribunal cantonal, 2018-06-26, FR</w:t>
      </w:r>
    </w:p>
    <w:p>
      <w:r>
        <w:rPr>
          <w:b/>
        </w:rPr>
        <w:t xml:space="preserve">Quelle: </w:t>
      </w:r>
      <w:r>
        <w:t>https://mcp.opencaselaw.ch/entscheid/vd_findinfo_D_cision___2018___530</w:t>
      </w:r>
    </w:p>
    <w:p>
      <w:r>
        <w:t>FR: VD_FINDINFO Décision / 2018 / 530 du 26 juin 2018</w:t>
      </w:r>
    </w:p>
    <w:p>
      <w:r>
        <w:t>IT: VD_FINDINFO Décision / 2018 / 530 del 26 giugno 2018</w:t>
      </w:r>
    </w:p>
    <w:p>
      <w:pPr>
        <w:pStyle w:val="Heading2"/>
      </w:pPr>
      <w:r>
        <w:t>Regeste</w:t>
      </w:r>
    </w:p>
    <w:p>
      <w:r>
        <w:t>ESCROQUERIE, MENACE{DROIT PÉNAL}, CONSTATATION DES FAITS | 146 CP, 180 CP, 319 CPP (CH), 393 al. 2 let. b CPP (CH)</w:t>
      </w:r>
    </w:p>
    <w:p>
      <w:pPr>
        <w:pStyle w:val="Heading2"/>
      </w:pPr>
      <w:r>
        <w:t>Erwägungen</w:t>
      </w:r>
    </w:p>
    <w:p>
      <w:r>
        <w:rPr>
          <w:b/>
        </w:rPr>
        <w:t>E. 1.1</w:t>
      </w:r>
    </w:p>
    <w:p>
      <w:r>
        <w:t>Les parties peuvent attaquer une ordonnance de non-entrée en matière rendue par le Ministère public dans les dix jours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w:t>
      </w:r>
    </w:p>
    <w:p>
      <w:r>
        <w:rPr>
          <w:b/>
        </w:rPr>
        <w:t>E. 1.2</w:t>
      </w:r>
    </w:p>
    <w:p>
      <w:r>
        <w:t>Interjeté dans le délai légal auprès de l’autorité compétente et dans les formes prescrites (art. 385 CPP) par la partie plaignante (cf. consid. 2.3 ci-dessous) qui a qualité pour recourir (art. 382 al. 1 CPP), le recours est recevable.</w:t>
      </w:r>
    </w:p>
    <w:p>
      <w:r>
        <w:rPr>
          <w:b/>
        </w:rPr>
        <w:t>E. 2.1</w:t>
      </w:r>
    </w:p>
    <w:p>
      <w:r>
        <w:t>La recourante soutient que c'est à tort que le Ministère public a retenu qu'elle n'avait pas déposé plainte contre W.________SA. Il s'agirait d'une constatation erronée des faits.</w:t>
      </w:r>
    </w:p>
    <w:p>
      <w:r>
        <w:rPr>
          <w:b/>
        </w:rPr>
        <w:t>E. 2.2</w:t>
      </w:r>
    </w:p>
    <w:p>
      <w:r>
        <w:t>La constatation des faits est erronée (ou inexacte) lorsqu'elle est contredite par une pièce probante du dossier ou lorsque le juge chargé du recours ne peut déterminer comment le droit a été appliqué (Rémy, Commentaire romand, Code de procédure pénale suisse, Bâle 2011, n. 17 ad art. 393 CPP).</w:t>
      </w:r>
    </w:p>
    <w:p>
      <w:r>
        <w:rPr>
          <w:b/>
        </w:rPr>
        <w:t>E. 2.3</w:t>
      </w:r>
    </w:p>
    <w:p>
      <w:r>
        <w:t>Il ressort indubitablement du rapport d'investigation établi par la police le 5 octobre 2017 (ci-après : le rapport de police) que la recourante s'est déplacée à la police le 21 septembre 2018 dans le but de déposer une plainte pénale. Dès lors, c'est de manière arbitraire que le Procureur a retenu que la recourante n'avait pas déposé plainte. En déposant une plainte pénale, la recourante a expressément voulu participer à la procédure pénale comme demandeur au pénal et au civil (art. 118 al. 1 et 2 CPP), ce qui ressort du reste de son audition. Il y a dès lors lieu de constater, ainsi que la recourante le demande, qu'elle a la qualité de partie plaignante, de laquelle dépend notamment sa qualité pour recourir.</w:t>
      </w:r>
    </w:p>
    <w:p>
      <w:r>
        <w:rPr>
          <w:b/>
        </w:rPr>
        <w:t>E. 3.1</w:t>
      </w:r>
    </w:p>
    <w:p>
      <w:r>
        <w:t>Sur le fond, le Procureur a retenu que les recherches préliminaires effectuées n'avaient pas mis en évidence d'indices suffisants de commission d'infraction et qu'il s'agissait en substance d'un litige civil entre un médecin (la recourante) et son employeur (W.________SA). La recourante fait valoir que les conditions d'un refus d'entrée en matière ne seraient pas réunies.</w:t>
      </w:r>
    </w:p>
    <w:p>
      <w:r>
        <w:rPr>
          <w:b/>
        </w:rPr>
        <w:t>E. 3.2</w:t>
      </w:r>
    </w:p>
    <w:p>
      <w:r>
        <w:t>Aux termes de l'art. 310 al. 1 CPP, une ordonnance de non-entrée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consid. 2.1; TF 1B_67/2012 du 29 mai 2012 consid.2.2). Selon la jurisprudence, l'art. 310 CPP doit être appliqué conformément à l'adage in dubio pro duriore (TF 6B_427/2017 du 15 novembre 2017 consid. 2.1 et la référence citée).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p. 243; ATF 138 IV 86 consid. 4.1.2 p. 91; ATF 138 IV 186 consid. 4.1 p. 190). Il convient d'examiner s'il existe des indices qu'une infraction a été commise.</w:t>
      </w:r>
    </w:p>
    <w:p>
      <w:r>
        <w:rPr>
          <w:b/>
        </w:rPr>
        <w:t>E. 4.1</w:t>
      </w:r>
    </w:p>
    <w:p>
      <w:r>
        <w:t>Pour la recourante, le Ministère public aurait dû ouvrir une instruction pénale contre W.________SA pour escroquerie et menaces (recours, p. 8).</w:t>
      </w:r>
    </w:p>
    <w:p>
      <w:r>
        <w:rPr>
          <w:b/>
        </w:rPr>
        <w:t>E. 4.2.1</w:t>
      </w:r>
    </w:p>
    <w:p>
      <w:r>
        <w:t>Se rend coupable d'escroquerie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la réalisation de l’escroquerie suppose : une tromperie, une astuce, une induction en erreur, un acte de disposition, un dommage, ainsi qu’un lien de causalité entre les éléments qui précèdent. Il y a tromperie astucieuse au sens de cette disposition lorsque l'auteur recourt à un édifice de mensonges, à des manoeuvres frauduleuses ou à une mise en scène. Il y a manoeuvre frauduleuse, par exemple, s'il emploie un document faux ou fait intervenir, à l'appui de sa tromperie, un tiers participant ou manipulé (Corboz, Les infractions en droit suisse, vol. I, 3 e éd., 2010, n° 18 ad art. 146 CP). Il y a également astuce lorsque l'auteur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 ATF 135 IV 76 consid. 5.2 ; ATF 133 IV 256 consid. 4.4.3 p. 264; ATF 128 IV 18 consid. 3a ; TF 6B_117/2015 du 11 février 2016 consid. 2.3.1.1 et les réf. citées). Sur le plan subjectif, l’infraction requiert l’intention, ainsi qu’un dessein d’enrichissement illégitime pour soi-même ou pour un tiers. Celui qui dispose sans droit d'une chose ou d'une valeur patrimoniale appartenant à autrui, qui lui a été confiée et sur laquelle il a un pouvoir matériel de disposition en vertu d'un accord passé avec le propriétaire, est punissable pour abus de confiance (art. 138 ch. 1 CP). En revanche, là où il existe bien une relation de confiance entre le propriétaire et l'auteur, mais où ce dernier obtient le pouvoir matériel de disposition grâce à une tromperie astucieuse, parce que les pouvoirs à lui conférés ne suffisent pas, il y a exclusivement escroquerie (ATF 111 IV 130 consid. 1 p. 132 ss).</w:t>
      </w:r>
    </w:p>
    <w:p>
      <w:r>
        <w:rPr>
          <w:b/>
        </w:rPr>
        <w:t>E. 4.2.2</w:t>
      </w:r>
    </w:p>
    <w:p>
      <w:r>
        <w:t>En l'espèce, le rapport de police conclut que W.________SA – par A.L________ et B.L.________ – défavorablement connus en particulier en matière d'infraction contre le patrimoine (abus de confiance, escroquerie, gestion fautive, banqueroute frauduleuse, diminution effective de l'actif au préjudice des créanciers et violation de tenir une comptabilité) – a volontairement conservé des sommes qui étaient dues à la recourante, en produisant un décompte volontairement élagué. Il est donc impossible, en présence d'un tel rapport, d'exclure à ce stade la commission par A.L________ et B.L.________ des infractions d'escroquerie ou d'abus de confiance au détriment de la recourante. Sur ce point, le recours est bien fondé.</w:t>
      </w:r>
    </w:p>
    <w:p>
      <w:r>
        <w:rPr>
          <w:b/>
        </w:rPr>
        <w:t>E. 4.3.1</w:t>
      </w:r>
    </w:p>
    <w:p>
      <w:r>
        <w:t>La recourante s'est également plainte de ce que A.L________ l'aurait informée qu'elle devait arrêter de réclamer le matériel de travail, sous peine de perdre son emploi en Suisse.</w:t>
      </w:r>
    </w:p>
    <w:p>
      <w:r>
        <w:rPr>
          <w:b/>
        </w:rPr>
        <w:t>E. 4.3.2</w:t>
      </w:r>
    </w:p>
    <w:p>
      <w:r>
        <w:t>L'art. 180 al. 1 CP punit d'une peine privative de liberté de trois ans ou plus ou d'une peine pécuniaire celui qui, par une menace grave, aura alarmé ou effrayé une personne.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3.3.1 et jurisprudence citée).</w:t>
      </w:r>
    </w:p>
    <w:p>
      <w:r>
        <w:rPr>
          <w:b/>
        </w:rPr>
        <w:t>E. 4.3.3</w:t>
      </w:r>
    </w:p>
    <w:p>
      <w:r>
        <w:t>Le rapport de police retient que, compte tenu des "antécédents" de A.L________, qui a en particulier fait l'objet de trois plaintes d'un ancien associé pour menaces, les affirmations de la plaignante apparaissent sur ce point vraisemblables. On ne peut dès lors d'emblée exclure la commission des infraction de contrainte, subsidiairement de menaces. Sur ce point, le recours est également bien fondé.</w:t>
      </w:r>
    </w:p>
    <w:p>
      <w:r>
        <w:rPr>
          <w:b/>
        </w:rPr>
        <w:t>E. 4.4</w:t>
      </w:r>
    </w:p>
    <w:p>
      <w:r>
        <w:t>Il résulte de ce qui précède que la motivation du Procureur selon laquelle les recherches effectuées n'ont pas mis en évidence d'indices suffisants de commission d'infraction pénale est choquante, car complètement démentie par le rapport de police.</w:t>
      </w:r>
    </w:p>
    <w:p>
      <w:r>
        <w:rPr>
          <w:b/>
        </w:rPr>
        <w:t>E. 5</w:t>
      </w:r>
    </w:p>
    <w:p>
      <w:r>
        <w:t>En définitive, le recours doit être admis, l'ordonnance attaquée annulée et le dossier de la cause retourné au Ministère public afin qu'il ouvre une instruction à l'encontre de A.L________ et B.L.________ pour les faits dénoncés par la recourante en relation avec des infractions d'escroquerie, d'abus de confiance, de menaces et de contrainte. Les frais de la procédure de recours, par 1'100 fr. (art. 422 al. 1 CPP et 20 al. 1 TFIP [tarif des frais de procédure et indemnités en matière pénale du 28 septembre 2010; RSV 312.03.1]), seront laissés à la charge de l'Etat (art. 423 al. 1 CPP). La recourante, qui a obtenu gain de cause et qui a procédé avec l'assistance d’un avocat de choix, a droit à une indemnité pour les dépenses occasionnées par la procédure de recours (art. 436 al. 1 et 3 CPP). Au vu du mémoire produit, cette indemnité sera fixée à 1'200 fr. (4 heures à 300 fr./heure),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 par 92 fr. 40, soit à 1'292 francs 40 au total. Par ces motifs, la Chambre des recours pénale prononce : I. Le recours est admis. II. L'ordonnance du 12 janvier 2018 est annulée. III. Le dossier de la cause est retourné au Ministère public de l’arrondissement de l'Est vaudois pour qu’il procède dans le sens des considérants. IV. Les frais d’arrêt, par 1'100 fr. (mille cent francs), sont laissés à la charge de l'Etat. V. Une indemnité de 1'292 fr. 40 (mille deux cent nonante-deux francs et quarante centimes) est allouée à J.________ pour les dépenses occasionnées par la procédure de recours, à la charge de l'Etat. VI. L’arrêt est exécutoire. Le président :               La greffière : Du Le présent arrêt, dont la rédaction a été approuvée à huis clos, est notifié, par l'envoi d'une copie complète, à : - Me Sandra Genier Müller, avocate (pour J.________),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