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524 vom 22. Mai 2018</w:t>
      </w:r>
    </w:p>
    <w:p>
      <w:r>
        <w:t>VD Tribunal cantonal, 2018-05-22, FR</w:t>
      </w:r>
    </w:p>
    <w:p>
      <w:r>
        <w:rPr>
          <w:b/>
        </w:rPr>
        <w:t xml:space="preserve">Quelle: </w:t>
      </w:r>
      <w:r>
        <w:t>https://mcp.opencaselaw.ch/entscheid/vd_findinfo_D_cision___2018___524</w:t>
      </w:r>
    </w:p>
    <w:p>
      <w:r>
        <w:t>FR: VD_FINDINFO Décision / 2018 / 524 du 22 mai 2018</w:t>
      </w:r>
    </w:p>
    <w:p>
      <w:r>
        <w:t>IT: VD_FINDINFO Décision / 2018 / 524 del 22 maggio 2018</w:t>
      </w:r>
    </w:p>
    <w:p>
      <w:pPr>
        <w:pStyle w:val="Heading2"/>
      </w:pPr>
      <w:r>
        <w:t>Regeste</w:t>
      </w:r>
    </w:p>
    <w:p>
      <w:r>
        <w:t>NON-LIEU, ABUS DE POUVOIR, POLICE | 312 CP, 310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en temps utile et dans les formes prescrites (art. 385 al. 1 CPP), auprès de l’autorité compétente, le recours est recevable. On doit admettre que l’infraction d’abus d’autorité dénoncée par le recourant a notamment pour but de protéger ses intérêts privés, de sorte qu’il a la qualité de partie plaignante et donc la qualité pour recourir (art. 382 CPP). En effet, il est généralement admis que l’infraction d’abus d’autorité (art. 312 CP [Code pénal suisse du 21 décembre 1937; RS 311.0]) protège tant l’intérêt de l’Etat à pouvoir compter sur des fonctionnaires fiables faisant usage raisonné du pouvoir de puissance publique qui leur a été conféré que celui des citoyens à n’être pas en but à un exercice incontrôlé, arbitraire, du pouvoir ainsi confié, le fait que l’art. 312 CP institue en condition subjective le dessein de nuire à autrui plaidant clairement en faveur de la protection, en plus des intérêts publics, de ceux, privés, de tiers (ATF 127 IV 209 consid. 1b p. 212 ; TF 6B_138/2017 du 9 février 2018 consid. 7.2.3 et les références citées).</w:t>
      </w:r>
    </w:p>
    <w:p>
      <w:r>
        <w:rPr>
          <w:b/>
        </w:rPr>
        <w:t>E. 2</w:t>
      </w:r>
    </w:p>
    <w:p>
      <w:r>
        <w:t>al. 1 CPP en relation avec les art. 309 al. 1,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p. 243 ; ATF 138 IV 86 consid. 4.1.2 p. 91 ; ATF 138 IV 186 consid. 4.1 p. 190).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reproche aux deux agents d’avoir abusé de leurs pouvoirs dans l’exercice de leur tâche, en ce sens qu’ils ne lui auraient pas permis d’encaisser le montant affiché sur le compteur, soit 295 fr. 30, alors que le taxi était équipé d’une machine à carte de crédit et que ce processus n’aurait duré que quelques minutes. Au lieu d’agir ainsi, les deux policiers se seraient contentés de lui fournir le prénom, le nom et le numéro de téléphone cellulaire d’un des clients alors que sans l’adresse postale du client, qui habite de surcroît à l’étranger, il était impossible de lui réclamer la somme due. Selon lui, les agents de la force de l’ordre auraient agi ainsi dans le but de lui nuire et de faire en sorte qu’il ne puisse pas récupérer le montant de sa course. Il fait enfin valoir que S.________ et B.________ auraient violé l’art. 312 CP en utilisant des moyens disproportionnés.</w:t>
      </w:r>
    </w:p>
    <w:p>
      <w:r>
        <w:rPr>
          <w:b/>
        </w:rPr>
        <w:t>E. 3.2</w:t>
      </w:r>
    </w:p>
    <w:p>
      <w:r>
        <w:t>Selon l'art. 312 CP, les membres d'une autorité et les fonctionnaires qui, dans le dessein de se procurer ou de procurer à un tiers un avantage illicite, ou dans le dessein de nuire à autrui, auront abusé des pouvoirs de leur charge seront punis de la réclusion pour cinq ans au plus ou de l'emprisonnement. Cette disposition punit l'abus d'autorité, soit l'emploi de pouvoirs officiels dans un but contraire à celui recherché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(TF 6B_699/2011 du 26 janvier 2012 consid. 1.1).</w:t>
      </w:r>
    </w:p>
    <w:p>
      <w:r>
        <w:rPr>
          <w:b/>
        </w:rPr>
        <w:t>E. 3.3</w:t>
      </w:r>
    </w:p>
    <w:p>
      <w:r>
        <w:t>En l’espèce, aucun élément au dossier ne permet de retenir que S.________ et B.________ se soient rendus coupables d’abus de pouvoir. Même s’il était avéré – ce qui n’est pas le cas – que les deux policiers avaient refusé que R.________ encaisse le montant de sa course avec l’appareil à carte installé dans le taxi, ce comportement n’est pas constitutif d’un abus des devoirs de leur charge. En outre, rien dans l’attitude des agents ne permet de retenir qu’ils visaient le dessein spécial de nuire au recourant ni qu’ils aient recouru à des moyens disproportionnés pour atteindre le but de leur tâche. Par ailleurs, les policiers – qui n’avaient aucune obligation positive de permettre au recourant de pouvoir encaisser le montant de sa course – ont dûment communiqué à R.________ les coordonnées du seul client parlant français pour qu’il puisse convenir d’un mode de paiement. Les agents ne sont nullement responsables du fait que le recourant n'ait finalement pas pu encaisser la somme qu'il estimait lui être due, ce quand bien même les policiers ne lui auraient pas fourni l’adresse postale du client en question. Enfin, on rappellera que le recourant a été acheminé au Centre de la Blécherette en raison de son comportement routier et a été empêché de quitter les lieux ensuite de son manque de collaboration. C’est donc son attitude et non celle des policiers qui a conduit à ce que les trois clients doivent être acheminés à destination par un autre chauffeur de taxi. Il s’ensuit que les éléments constitutifs de l’infraction d’abus d’autorité ne sont manifestement pas réalisés en l’espèce et que c’est à bon droit que le Procureur n’est pas entré en matière.</w:t>
      </w:r>
    </w:p>
    <w:p>
      <w:r>
        <w:rPr>
          <w:b/>
        </w:rPr>
        <w:t>E. 4</w:t>
      </w:r>
    </w:p>
    <w:p>
      <w:r>
        <w:t>Il résulte de ce qui précède que le recours doit être rejeté, sans autre échange d'écritures (art. 390 al. 2 CPP), et l'ordonnance du 17 avril 2018 confirmée. Les frais de la procédure de recours, constitués en l'espèce du seul émolument d'arrêt, par 770 fr. (art. 422 al. 1 CPP et 20 al. 1 TFIP [Tarif des frais de procédure et indemnités en matière pénale du 28 septembre 2010 ; RSV 312.03.1]), seront mis à la charge du recourant, qui succombe (art. 428 al. 1 CPP). Dès lors qu'il n'obtient pas gain de cause et que les prévenus ne supportent pas les frais de procédure conformément à l'art. 426 al. 2 CPP, le recourant ne saurait se voir allouer une indemnité pour les dépenses occasionnées par la procédure (art. 433 CPP). Par ces motifs, la Chambre des recours pénale prononce : I. Le recours est rejeté. II. L’ordonnance du 17 avril 2018 est confirmée. III. Les frais d’arrêt, par 770 fr. (sept cent septante francs), sont mis à la charge du recourant. IV. L’arrêt est exécutoire. Le président :               La greffière: Du Le présent arrêt, dont la rédaction a été approuvée à huis clos, est notifié, par l'envoi d'une copie complète, à : - Me Kaveh Mirfakhraei, avocat (pour R.________), - M. S.________, - M. B.________, - Ministère public central, et communiqué à : - M. le Premier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