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493 vom 21. Juni 2018</w:t>
      </w:r>
    </w:p>
    <w:p>
      <w:r>
        <w:t>VD Tribunal cantonal, 2018-06-21, FR</w:t>
      </w:r>
    </w:p>
    <w:p>
      <w:r>
        <w:rPr>
          <w:b/>
        </w:rPr>
        <w:t xml:space="preserve">Quelle: </w:t>
      </w:r>
      <w:r>
        <w:t>https://mcp.opencaselaw.ch/entscheid/vd_findinfo_D_cision___2018___493</w:t>
      </w:r>
    </w:p>
    <w:p>
      <w:r>
        <w:t>FR: VD_FINDINFO Décision / 2018 / 493 du 21 juin 2018</w:t>
      </w:r>
    </w:p>
    <w:p>
      <w:r>
        <w:t>IT: VD_FINDINFO Décision / 2018 / 493 del 21 giugno 2018</w:t>
      </w:r>
    </w:p>
    <w:p>
      <w:pPr>
        <w:pStyle w:val="Heading2"/>
      </w:pPr>
      <w:r>
        <w:t>Regeste</w:t>
      </w:r>
    </w:p>
    <w:p>
      <w:r>
        <w:t>DÉTENTION PROVISOIRE, PROPORTIONNALITÉ, MESURE DE SUBSTITUTION À LA DÉTENTION, RISQUE DE RÉCIDIVE | 221 al. 1 let. c CPP (CH), 221 al. 2 CPP (CH), 237 CPP (CH)</w:t>
      </w:r>
    </w:p>
    <w:p>
      <w:pPr>
        <w:pStyle w:val="Heading2"/>
      </w:pPr>
      <w:r>
        <w:t>Erwägungen</w:t>
      </w:r>
    </w:p>
    <w:p>
      <w:r>
        <w:rPr>
          <w:b/>
        </w:rPr>
        <w:t>E. 1</w:t>
      </w:r>
    </w:p>
    <w:p>
      <w:r>
        <w:t>CPP), le recours d’A.X.________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être ordonnée s'il y a sérieusement lieu de craindre qu'une personne passe à l'acte après avoir menacé de commettre un crime grave (art. 221 al. 2 CPP).</w:t>
      </w:r>
    </w:p>
    <w:p>
      <w:r>
        <w:rPr>
          <w:b/>
        </w:rPr>
        <w:t>E. 3.1</w:t>
      </w:r>
    </w:p>
    <w:p>
      <w:r>
        <w:t>Le recourant conteste l’existence d’indices suffisants de culpabilité à son égard.</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et les références citées). D'ailleurs, la mise en œuvre d'un tel moyen est parfois suffisante pour dissuader le prévenu d'enfreindre l'assignation à résidence et l'interdiction de périmètre ; en tout état, la surveillance électronique ne saurait être écartée d'emblée au motif que les équipements techniques feraient défaut (TF 1B_108/2018 du 28 mars 2018 consid. 3.3 et les références citées).</w:t>
      </w:r>
    </w:p>
    <w:p>
      <w:r>
        <w:rPr>
          <w:b/>
        </w:rPr>
        <w:t>E. 4.1</w:t>
      </w:r>
    </w:p>
    <w:p>
      <w:r>
        <w:t>Le recourant conteste les risques de passage à l’acte et de réitération retenu (art. 221 al. 1 let. c et 221 al. 2 CPP).</w:t>
      </w:r>
    </w:p>
    <w:p>
      <w:r>
        <w:rPr>
          <w:b/>
        </w:rPr>
        <w:t>E. 4.2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 L'art. 221 al. 2 CPP permet d'ordonner la détention lorsqu'il y a lieu de craindre un passage à l'acte, même en l'absence de toute infraction préalable. Il doit s'agir d'un crime grave et non seulement d'un délit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apparaissent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s.; 137 IV 122 consid. 5 p. 129 et les réf. cit.). Plus l'infraction redoutée est grave, plus la mise en détention se justifie lorsque les éléments disponibles ne permettent pas une évaluation précise de ce risque (ATF 140 IV 19 consid. 2.1.1 p. 22).</w:t>
      </w:r>
    </w:p>
    <w:p>
      <w:r>
        <w:rPr>
          <w:b/>
        </w:rPr>
        <w:t>E. 4.3</w:t>
      </w:r>
    </w:p>
    <w:p>
      <w:r>
        <w:t>En l’espèce, les faits dénoncés sont graves. Le prévenu aurait agi à de multiples reprises depuis 2012. En dépit des trois plaintes pénales déposées par B.X.________ durant les dernières semaines, des interventions policières qui s’en sont suivies et des mesures d’expulsion du domicile conjugal qui ont été prononcées, A.X.________ aurait poursuivi ses agissements. Comme l’a à juste titre relevé le Tribunal des mesures de contrainte, la fréquence et la nature de ces derniers ne manquent pas d’inquiéter. Au demeurant, le recourant semble rencontrer des difficultés importantes dans la maîtrise de son impulsivité. Il est ainsi à craindre que, s’il était libéré, A.X.________ recommence à s’en prendre à sa victime par des agissements similaires à ceux dénoncés ou ne mette à exécution les menaces de mort qu’il aurait proférées à maintes reprises à l’encontre de sa victime ou de la famille de celle-ci. Partant, la sécurité de la plaignante doit prévaloir sur la liberté personnelle du prévenu. A ce stade, les risques de réitération et de passage à l’acte sont donc réalisés.</w:t>
      </w:r>
    </w:p>
    <w:p>
      <w:r>
        <w:rPr>
          <w:b/>
        </w:rPr>
        <w:t>E. 4.4</w:t>
      </w:r>
    </w:p>
    <w:p>
      <w:r>
        <w:t>Les conditions de l’art. 221 al. 1 CPP étant alternatives, l’existence de ces risques dispense d’examiner si la détention provisoire s’impose également en raison du risque de collusion – également invoqué par l’accusation et que le premier juge a aussi examiné – ou du risque de fuite (TF 1B_249/2011 du 7 juin 2011 consid. 2.4; CREP 19 décembre 2017/851 consid. 5 et les références citées; CREP 21 avril 2015/260 consid. 3.3 et les références citées).</w:t>
      </w:r>
    </w:p>
    <w:p>
      <w:r>
        <w:rPr>
          <w:b/>
        </w:rPr>
        <w:t>E. 5.1</w:t>
      </w:r>
    </w:p>
    <w:p>
      <w:r>
        <w:t>Le recourant invoque une violation du principe de la proportionnalité. Il fait grief au premier juge de ne pas avoir tenu compte du fait qu’une incarcération prolongée pourrait mettre en péril son emploi. Subsidiairement, il fait valoir que son placement en détention provisoire, s’il devait être ordonné, ne devrait pas dépasser deux semaines.</w:t>
      </w:r>
    </w:p>
    <w:p>
      <w:r>
        <w:rPr>
          <w:b/>
        </w:rPr>
        <w:t>E. 5.2</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5.3</w:t>
      </w:r>
    </w:p>
    <w:p>
      <w:r>
        <w:t>Au vu de la gravité des faits reprochés à A.X.________, constitutifs, à ce stade, notamment de lésions corporelles simples qualifiées, de menaces qualifiées et de contrainte, le recourant s’expose concrètement au prononcé d’une peine à l’évidence supérieure à la période de détention provisoire qu’il aura subie le 9 septembre 2018. Le fait que le recourant puisse perdre son emploi en raison de son placement en détention provisoire est de peu de poids face aux intérêts à protéger, notamment l’intégrité physique et la vie de la plaignante. Pour le surplus, l’instruction, qui n’en est qu’à ses débuts, ne pourra assurément pas être menée dans le délai de deux semaines invoqué par le recourant. En l’état du dossier, les actes de procédure à exécuter sont encore nombreux et les risques identifiés ci-dessus imposent la plus grande prudence. Partant, le principe de la proportionnalité est respecté (art. 212 al. 3 CPP).</w:t>
      </w:r>
    </w:p>
    <w:p>
      <w:r>
        <w:rPr>
          <w:b/>
        </w:rPr>
        <w:t>E. 6.1</w:t>
      </w:r>
    </w:p>
    <w:p>
      <w:r>
        <w:t>Enfin, le recourant propose diverses mesures de substitution.</w:t>
      </w:r>
    </w:p>
    <w:p>
      <w:r>
        <w:rPr>
          <w:b/>
        </w:rPr>
        <w:t>E. 6.2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(TF 1B_108/2018 du 28 mars 2018 consid.</w:t>
      </w:r>
    </w:p>
    <w:p>
      <w:r>
        <w:rPr>
          <w:b/>
        </w:rPr>
        <w:t>E. 6.3</w:t>
      </w:r>
    </w:p>
    <w:p>
      <w:r>
        <w:t>Le recourant propose qu’il lui soit interdit d’entretenir des contacts avec B.X.________, respectivement d’autres personnes dans le cadre de cette affaire, ou/et qu’il lui soit interdit de se rendre au lieu de résidence de la prénommée. Il requiert que le respect de cette interdiction soit contrôlé au moyen d’une surveillance électronique ou/et d’une saisie des documents d’identité ou/et d’une obligation de se présenter régulièrement à un service administratif. Les mesures proposées ne sont pas propres à pallier les risques de récidive et de passage à l’acte retenus. En effet, quand bien même de telles mesures ont été expressément prévues par le législateur pour prévenir les violences domestiques (TF 1B_108/2018 du 28 mars 2018 consid. 3.3 et la référence citée), un contrôle par le biais d’un bracelet électronique ne permet pas de vérifier en direct les déplacements de la personne concernée. Ainsi, en cas de libération assortie de la surveillance proposée, l’intéressé demeurerait libre de ses mouvements et pourrait aisément se rendre au domicile conjugal ou à tout autre endroit où se trouverait son épouse. Vu la gravité des actes dont la réitération est redoutée et l’impulsivité qui semble dicter les agissements d’A.X.________, un tel risque n’est pas acceptable. Pour le reste, aucune des autres mesures de substitution proposées – davantage destinées à parer à un éventuel risque de fuite – n’apparaît susceptible de pallier les risques retenus.</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fixés à 720 fr., plus la TVA par 55 fr. 45, soit à 775 fr. 45 au total, seront mis à la charge d’A.X.________,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13 juin 2018 est confirmée. III. L’indemnité allouée au défenseur d’office d’A.X.________ est fixée à 775 fr. 45 (sept cent septante-cinq francs et quarante-cinq centimes). IV. Les frais d’arrêt, par 1’320 fr. (mille trois cent vingt francs), ainsi que l’indemnité due au défenseur d’office d’A.X.________, par 775 fr. 45 (sept cent septante-cinq francs et quarante-cinq centimes), sont mis à la charge de ce dernier. V. Le remboursement à l’Etat de l’indemnité allouée au chiffre III ci-dessus ne sera exigible que pour autant que la situation économique d’A.X.________ le permette. VI. L’arrêt est exécutoire. Le président :               La greffière : Du Le présent arrêt, dont la rédaction a été approuvée à huis clos, est notifié, par l'envoi d'une copie complète, à : - Me Sandro Brantschen, avocat (pour A.X.________), - Ministère public central, et communiqué à : - Mme la Présidente du Tribunal des mesures de contrainte, - M. le Procureur de l’arrondissement du Nord vaudois, - Mme B.X.________,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