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492 vom 14. Juni 2018</w:t>
      </w:r>
    </w:p>
    <w:p>
      <w:r>
        <w:t>VD Tribunal cantonal, 2018-06-14, FR</w:t>
      </w:r>
    </w:p>
    <w:p>
      <w:r>
        <w:rPr>
          <w:b/>
        </w:rPr>
        <w:t xml:space="preserve">Quelle: </w:t>
      </w:r>
      <w:r>
        <w:t>https://mcp.opencaselaw.ch/entscheid/vd_findinfo_D_cision___2018___492</w:t>
      </w:r>
    </w:p>
    <w:p>
      <w:r>
        <w:t>FR: VD_FINDINFO Décision / 2018 / 492 du 14 juin 2018</w:t>
      </w:r>
    </w:p>
    <w:p>
      <w:r>
        <w:t>IT: VD_FINDINFO Décision / 2018 / 492 del 14 giugno 2018</w:t>
      </w:r>
    </w:p>
    <w:p>
      <w:pPr>
        <w:pStyle w:val="Heading2"/>
      </w:pPr>
      <w:r>
        <w:t>Regeste</w:t>
      </w:r>
    </w:p>
    <w:p>
      <w:r>
        <w:t>ADMISSION DE LA DEMANDE, AVOCAT D'OFFICE, COMPLEXITÉ DE LA PROCÉDURE | 132 CPP (CH)</w:t>
      </w:r>
    </w:p>
    <w:p>
      <w:pPr>
        <w:pStyle w:val="Heading2"/>
      </w:pPr>
      <w:r>
        <w:t>Erwägungen</w:t>
      </w:r>
    </w:p>
    <w:p>
      <w:r>
        <w:rPr>
          <w:b/>
        </w:rPr>
        <w:t>E. 1</w:t>
      </w:r>
    </w:p>
    <w:p>
      <w:r>
        <w:t>et les référence citées).</w:t>
      </w:r>
    </w:p>
    <w:p>
      <w:r>
        <w:rPr>
          <w:b/>
        </w:rPr>
        <w:t>E. 2.1</w:t>
      </w:r>
    </w:p>
    <w:p>
      <w:r>
        <w:t>La recourante fait valoir que lorsque son avocate est intervenue, appelée par la permanence des avocats de la première heure, il ne s’agissait pas d’un cas bagatelle, mais au contraire d’un cas de défense obligatoire, vu l’ampleur de l’affaire «  [...]» dans le cadre de laquelle cette enquête s’insère. Elle voit égale­ment une preuve de la nécessité de l’intervention de son avocate dans le fait que, sans mandat, la police a voulu recueillir à tort ses données signalétiques. Elle allègue encore que son époux est détenu depuis près d’un an dans le cadre de l’enquête «  [...]», que l’avocat de celui-ci a assisté à sa propre audition, que l’égalité des armes justifierait qu’elle aussi soit assistée, qu’elle risquerait une expulsion pénale ou administrative, qu’en raison de son état psychique, elle ne serait pas en mesure de défendre suffisamment ses intérêts, que, sans formation, elle ne maîtriserait le français ni à l’oral ni à l’écrit et qu’elle méconnaîtrait totalement le système juridique suisse.</w:t>
      </w:r>
    </w:p>
    <w:p>
      <w:r>
        <w:rPr>
          <w:b/>
        </w:rPr>
        <w:t>E. 2.2</w:t>
      </w:r>
    </w:p>
    <w:p>
      <w:r>
        <w:t>En dehors des cas de défense obligatoire visés à l'art. 130 CPP, l'art. 132 al. 1 let. b CPP soumet le droit à l'assistance d'un défenseur d'office aux conditions que le prévenu soit indigent et que la sauvegarde de ses intérêts justifie une telle assistance, ces deux conditions étant cumulatives (Harari/Aliberti, in :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Ainsi, les intérêts du prévenu justifient une défense d'office notamment lorsque la cause n'est pas de peu de gravité et qu'elle présente, sur le plan des faits ou du droit, des difficultés que le prévenu seul ne pourrait pas surmonter (art. 132 al. 2 CPP). Si les deux conditions mentionnées à cette disposition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(TF 1B_447/2017 du 13 novembre 2017 consid. 3.1 et réf. cit. ; TF 1B_417/2016 du 20 décembre 2016 et réf. cit.).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1B_447/2017 du 13 novembre 2017 consid. 3.1 ; TF 1B_417/2016 du 20 décembre 2016).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(TF 1B_447/2017 du 13 novembre 2017 consid. 3.1 et réf. cit. ; TF 1B_417/2016 du 20 décembre 2016 et réf. cit.). La difficulté objective d'une cause est admise sur le plan juridique lorsque la subsomption des faits donne lieu à des doutes, que ce soit de manière générale ou dans le cas particulier; elle est également retenue, en matière de circulation routière, quand il faut apprécier des faits justificatifs ou exclusifs de responsabilité ou encore lorsque la distinction entre infraction simple et infraction grave à la loi sur la circulation routière est litigieuse (TF 1B_66/2017 du 31 mars 2017 consid. 2.1).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1B_447/2017 du 13 novembre 2017 consid. 3.1 et réf. cit. ; TF 1B_417/2016 du 20 décembre 2016 et réf. cit.).</w:t>
      </w:r>
    </w:p>
    <w:p>
      <w:r>
        <w:rPr>
          <w:b/>
        </w:rPr>
        <w:t>E. 2.3</w:t>
      </w:r>
    </w:p>
    <w:p>
      <w:r>
        <w:t>En l’espèce, la condition de l’indigence est manifestement réalisée, dès lors que la recourante n’a pas d’activité professionnelle et bénéficie de l’aide sociale (PV aud. R. 5). Ce point n’est du reste pas contesté. Il résulte de l’examen du dossier, en particulier du procès-verbal d’audi­tion de la recourante, qu’il ne s’agit pas d’un cas bagatelle au sens de la jurispru­dence du Tribunal fédéral précitée. Certes, le Procureur n’envisage pas une peine supérieure à 120 jours-amende avec sursis. Toutefois, l’enquête de police a révélé d’autres faits que ceux retenus par le Procureur, de sorte qu’il appartiendra au Procureur d’examiner si l’enquête doit être étendue aux différents éléments ressor­tant des déclarations de la recourante. En effet, il n’est pas exclu que la recourante soit accusée d’autres actes délictueux, à savoir d’escroqueries au chômage ou de fraudes à l’aide sociale, au vu de ses déclarations, la recourante ayant reconnu avoir touché des prestations de l’aide sociale, avoir requis des prestations de chômage auprès de la Caisse de chômage, avoir touché la somme de plus de 30'000 fr. le 14 janvier 2015 de la Caisse de chômage [...] et avoir perçu un montant de 4'829 fr. 30 le 8 mai 2015 en guise de salaire de juin 2012 de la société E.________ alors  en faillite (PV aud. R. 5, R. 22, R. 23 et annexes 1, 12 et 13). La recourante pourrait ainsi être passible d’une peine supérieure à celle envisagée à ce stade de l’instruction. Au demeurant, compte tenu de l’ensemble des éléments évo­qués, de leur durée, d’un éventuel défaut d’amendement de l’intéressée – qui se contente de dire qu’elle ne se souvient de rien – et d’une éventuelle complicité de l’intéressée dans les actes délictueux de son époux, une peine de 120 jours-amende paraît plutôt faible dans le cas d’espèce. Il apparaît également que, par rapport à l’enquête ouverte contre le mari de la recourante dans le cadre de l’enquête «  [...]» et aux éventuelles implications pénales qui pourraient en découler pour elle, la question de sa participation ne pouvant pas d’emblée être exclue en l’état, le principe de l’égalité des armes justifie aussi la désignation d’un défenseur d’office à la recourante. De plus, les conséquences de la présente procédure sur le statut en Suisse de la recou­rante, ressortissante kosovare titulaire d’un permis de séjour B, sont potentiellement impor­tantes puisqu’elle risque l’expulsion en cas de condamnation (art. 66a CP), voire une expulsion administrative. Enfin, la recourante, arrivée en Suisse il y a six ans, ne parle ni n’écrit le français et la seule activité professionnelle qu’elle aurait eue, mais qui paraît fictive, est celle qui est litigieuse (PV aud. R. 5). C’est dire qu’elle ne connaît pas le système juridique suisse ni n’est intégrée dans notre pays. Au vu de ce qui précède, il y a lieu de constater que la recourante remplit les conditions pour être mise au bénéfice d’une défense d’office.</w:t>
      </w:r>
    </w:p>
    <w:p>
      <w:r>
        <w:rPr>
          <w:b/>
        </w:rPr>
        <w:t>E. 3</w:t>
      </w:r>
    </w:p>
    <w:p>
      <w:r>
        <w:t>En définitive, le recours doit être admis et l’ordonnance attaquée réformée en ce sens que Me Kathrin Gruber est désignée en qualité de défenseur d’office de A.G.________. La désignation prendra effet le 3 avril 2018, jour de la demande initiale faite par la recourante lors de sa première audition (cf. CREP 15 avril 2016/251; CREP 14 mars 2016/189). Compte tenu de la difficulté de la cause en fait et en droit, l’indemnité allouée à Me Kathrin Gruber pour la procédure de recours sera arrêtée à 540 fr., plus un montant de 41 fr. 60 correspondant à la TVA, soit un total de 581 fr. 60, indemnité correspondant à 3 heures d’acti­vité d’avocat breveté. Vu l’issue du recours, les frais de la procédure de recours, constitués de l’émolument d’arrêt (art. 422 al. 1 CPP), par 880 fr. (art. 20 al. 1 TFIP [Tarif des frais de procédure et indemnités en matière pénale du 28 septembre 2010 ; RSV 312.03.1]), et des frais imputables à la défense d’office (art. 422 al. 1 et 2 let. a CPP), par 581 fr. 60, seront laissés à la charge de l’Etat (art. 423 al. 1 CPP). Par ces motifs, la Chambre des recours pénale prononce : I. Le recours est admis. II. L’ordonnance du 2 mai 2018 est réformée en ce sens que Me Kathrin Gruber est désignée en qualité de défenseur d’office de A.G.________, avec effet au 3 avril 2018. III. Me Kathrin Gruber est désignée défenseur d’office de A.G.________ pour la procédure de recours et son indemnité est fixée à 581 fr. 60 (cinq cent huitante et un francs et soixante centimes). IV. Les frais d’arrêt, par 880 fr. (huit cent huitante francs), ainsi que l’indemnité due au défenseur d’office de la recourante,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Kathrin Gruber, avocate (pour A.G.________),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